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 w:rsidRPr="00B06930" w14:paraId="67650BF9" w14:textId="77777777" w:rsidTr="004D0CAF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14:paraId="7608418C" w14:textId="77777777" w:rsidR="0041234D" w:rsidRDefault="005265C7" w:rsidP="000D37C4">
            <w:pPr>
              <w:framePr w:h="8505" w:hRule="exact" w:hSpace="142" w:wrap="around" w:vAnchor="text" w:hAnchor="page" w:x="8754" w:y="91" w:anchorLock="1"/>
              <w:spacing w:line="220" w:lineRule="exact"/>
              <w:rPr>
                <w:rFonts w:ascii="Arial Black" w:hAnsi="Arial Black"/>
                <w:sz w:val="13"/>
                <w:szCs w:val="13"/>
                <w:lang w:val="en-GB"/>
              </w:rPr>
            </w:pPr>
            <w:r w:rsidRPr="00FF61A8">
              <w:rPr>
                <w:rFonts w:ascii="Arial Black" w:hAnsi="Arial Black"/>
                <w:sz w:val="13"/>
                <w:szCs w:val="13"/>
                <w:lang w:val="en-GB"/>
              </w:rPr>
              <w:t>DANISH FINANCIAL</w:t>
            </w:r>
          </w:p>
          <w:p w14:paraId="35C796B7" w14:textId="77777777" w:rsidR="005265C7" w:rsidRPr="00FF61A8" w:rsidRDefault="005265C7" w:rsidP="000D37C4">
            <w:pPr>
              <w:framePr w:h="8505" w:hRule="exact" w:hSpace="142" w:wrap="around" w:vAnchor="text" w:hAnchor="page" w:x="8754" w:y="91" w:anchorLock="1"/>
              <w:spacing w:line="220" w:lineRule="exact"/>
              <w:rPr>
                <w:sz w:val="16"/>
                <w:szCs w:val="16"/>
                <w:lang w:val="en-GB"/>
              </w:rPr>
            </w:pPr>
            <w:r w:rsidRPr="00FF61A8">
              <w:rPr>
                <w:rFonts w:ascii="Arial Black" w:hAnsi="Arial Black"/>
                <w:sz w:val="13"/>
                <w:szCs w:val="13"/>
                <w:lang w:val="en-GB"/>
              </w:rPr>
              <w:t>SUPERVISORY AUTHORITY</w:t>
            </w:r>
          </w:p>
          <w:p w14:paraId="44EDB1E3" w14:textId="77777777" w:rsidR="00163A8D" w:rsidRPr="00B06930" w:rsidRDefault="00163A8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GB"/>
              </w:rPr>
            </w:pPr>
          </w:p>
          <w:bookmarkStart w:id="0" w:name="PCAdato"/>
          <w:bookmarkEnd w:id="0"/>
          <w:p w14:paraId="6DCE2F46" w14:textId="77777777" w:rsidR="006C7261" w:rsidRPr="007847E4" w:rsidRDefault="009C43E1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US"/>
              </w:rPr>
            </w:pPr>
            <w:r>
              <w:rPr>
                <w:sz w:val="16"/>
                <w:lang w:val="en-GB"/>
              </w:rPr>
              <w:fldChar w:fldCharType="begin"/>
            </w:r>
            <w:r w:rsidR="00B06930">
              <w:rPr>
                <w:sz w:val="16"/>
                <w:lang w:val="en-GB"/>
              </w:rPr>
              <w:instrText xml:space="preserve"> DATE  \@ "d MMMM yyyy"  \* MERGEFORMAT </w:instrText>
            </w:r>
            <w:r>
              <w:rPr>
                <w:sz w:val="16"/>
                <w:lang w:val="en-GB"/>
              </w:rPr>
              <w:fldChar w:fldCharType="separate"/>
            </w:r>
            <w:r w:rsidR="006A51AA">
              <w:rPr>
                <w:noProof/>
                <w:sz w:val="16"/>
                <w:lang w:val="en-GB"/>
              </w:rPr>
              <w:t>6 June 2024</w:t>
            </w:r>
            <w:r>
              <w:rPr>
                <w:sz w:val="16"/>
                <w:lang w:val="en-GB"/>
              </w:rPr>
              <w:fldChar w:fldCharType="end"/>
            </w:r>
          </w:p>
          <w:p w14:paraId="19F87A28" w14:textId="77777777" w:rsidR="00163A8D" w:rsidRPr="007374A4" w:rsidRDefault="007374A4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</w:rPr>
            </w:pPr>
            <w:r w:rsidRPr="007374A4">
              <w:rPr>
                <w:sz w:val="16"/>
              </w:rPr>
              <w:t>/</w:t>
            </w:r>
            <w:proofErr w:type="gramStart"/>
            <w:r w:rsidRPr="007374A4">
              <w:rPr>
                <w:sz w:val="16"/>
              </w:rPr>
              <w:t>ITKON(</w:t>
            </w:r>
            <w:proofErr w:type="gramEnd"/>
            <w:r w:rsidRPr="007374A4">
              <w:rPr>
                <w:sz w:val="16"/>
              </w:rPr>
              <w:t>pm), LIFA(</w:t>
            </w:r>
            <w:proofErr w:type="spellStart"/>
            <w:r w:rsidRPr="007374A4">
              <w:rPr>
                <w:sz w:val="16"/>
              </w:rPr>
              <w:t>kri</w:t>
            </w:r>
            <w:proofErr w:type="spellEnd"/>
            <w:r w:rsidRPr="007374A4">
              <w:rPr>
                <w:sz w:val="16"/>
              </w:rPr>
              <w:t>)</w:t>
            </w:r>
          </w:p>
          <w:p w14:paraId="6C730F65" w14:textId="77777777" w:rsidR="00C5465E" w:rsidRPr="00B06930" w:rsidRDefault="00C5465E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GB"/>
              </w:rPr>
            </w:pPr>
            <w:bookmarkStart w:id="1" w:name="PCASag"/>
            <w:bookmarkEnd w:id="1"/>
          </w:p>
          <w:p w14:paraId="15227EBE" w14:textId="77777777" w:rsidR="00163A8D" w:rsidRPr="00B06930" w:rsidRDefault="00163A8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lang w:val="en-GB"/>
              </w:rPr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 w:rsidRPr="00B06930" w14:paraId="0C712630" w14:textId="77777777">
        <w:trPr>
          <w:cantSplit/>
          <w:trHeight w:val="2040"/>
        </w:trPr>
        <w:tc>
          <w:tcPr>
            <w:tcW w:w="7258" w:type="dxa"/>
          </w:tcPr>
          <w:p w14:paraId="2A893E34" w14:textId="77777777" w:rsidR="00163A8D" w:rsidRPr="00B06930" w:rsidRDefault="00163A8D">
            <w:pPr>
              <w:rPr>
                <w:lang w:val="en-GB"/>
              </w:rPr>
            </w:pPr>
          </w:p>
          <w:p w14:paraId="6E241632" w14:textId="77777777" w:rsidR="00163A8D" w:rsidRPr="00B06930" w:rsidRDefault="00163A8D">
            <w:pPr>
              <w:rPr>
                <w:lang w:val="en-GB"/>
              </w:rPr>
            </w:pPr>
          </w:p>
          <w:p w14:paraId="79747D0A" w14:textId="77777777" w:rsidR="00163A8D" w:rsidRPr="00B06930" w:rsidRDefault="00163A8D">
            <w:pPr>
              <w:rPr>
                <w:lang w:val="en-GB"/>
              </w:rPr>
            </w:pPr>
            <w:bookmarkStart w:id="2" w:name="PCAmodtager"/>
            <w:bookmarkEnd w:id="2"/>
          </w:p>
          <w:p w14:paraId="04EDD2A9" w14:textId="77777777" w:rsidR="00163A8D" w:rsidRPr="00B06930" w:rsidRDefault="00163A8D">
            <w:pPr>
              <w:rPr>
                <w:lang w:val="en-GB"/>
              </w:rPr>
            </w:pPr>
          </w:p>
          <w:p w14:paraId="32B751C5" w14:textId="77777777" w:rsidR="00163A8D" w:rsidRPr="00B06930" w:rsidRDefault="00163A8D">
            <w:pPr>
              <w:rPr>
                <w:lang w:val="en-GB"/>
              </w:rPr>
            </w:pPr>
          </w:p>
          <w:p w14:paraId="3DC8CB22" w14:textId="77777777" w:rsidR="00163A8D" w:rsidRPr="00B06930" w:rsidRDefault="00163A8D">
            <w:pPr>
              <w:rPr>
                <w:lang w:val="en-GB"/>
              </w:rPr>
            </w:pPr>
          </w:p>
          <w:p w14:paraId="5B25A5A6" w14:textId="77777777" w:rsidR="00163A8D" w:rsidRPr="00B06930" w:rsidRDefault="00163A8D">
            <w:pPr>
              <w:rPr>
                <w:lang w:val="en-GB"/>
              </w:rPr>
            </w:pPr>
          </w:p>
          <w:p w14:paraId="4E50CA63" w14:textId="77777777" w:rsidR="00163A8D" w:rsidRPr="00B06930" w:rsidRDefault="00163A8D">
            <w:pPr>
              <w:rPr>
                <w:lang w:val="en-GB"/>
              </w:rPr>
            </w:pPr>
          </w:p>
        </w:tc>
      </w:tr>
    </w:tbl>
    <w:p w14:paraId="6BD2BA54" w14:textId="77777777" w:rsidR="00163A8D" w:rsidRPr="00B06930" w:rsidRDefault="00163A8D" w:rsidP="00774179">
      <w:pPr>
        <w:rPr>
          <w:lang w:val="en-GB"/>
        </w:rPr>
      </w:pPr>
    </w:p>
    <w:p w14:paraId="0E431FE1" w14:textId="77777777" w:rsidR="00163A8D" w:rsidRPr="00D47871" w:rsidRDefault="00D47871" w:rsidP="000E5781">
      <w:pPr>
        <w:pStyle w:val="Overskrift1"/>
        <w:rPr>
          <w:lang w:val="en-US"/>
        </w:rPr>
      </w:pPr>
      <w:bookmarkStart w:id="3" w:name="PCAoverskrift"/>
      <w:bookmarkStart w:id="4" w:name="PEmne"/>
      <w:bookmarkEnd w:id="3"/>
      <w:r w:rsidRPr="00D47871">
        <w:rPr>
          <w:lang w:val="en-US"/>
        </w:rPr>
        <w:t>The FIONA system is open for test of Solvency II reports</w:t>
      </w:r>
      <w:bookmarkEnd w:id="4"/>
      <w:r w:rsidR="000C7501">
        <w:rPr>
          <w:lang w:val="en-US"/>
        </w:rPr>
        <w:t xml:space="preserve"> (version 2.0.1)</w:t>
      </w:r>
    </w:p>
    <w:p w14:paraId="402ABBDA" w14:textId="77777777" w:rsidR="00163A8D" w:rsidRPr="00B06930" w:rsidRDefault="00163A8D" w:rsidP="00774179">
      <w:pPr>
        <w:rPr>
          <w:lang w:val="en-GB"/>
        </w:rPr>
      </w:pPr>
    </w:p>
    <w:p w14:paraId="42756E1D" w14:textId="77777777" w:rsidR="00D47871" w:rsidRDefault="00D47871" w:rsidP="00774179">
      <w:pPr>
        <w:rPr>
          <w:lang w:val="en-GB"/>
        </w:rPr>
      </w:pPr>
      <w:bookmarkStart w:id="5" w:name="PCAStart"/>
      <w:bookmarkEnd w:id="5"/>
      <w:r w:rsidRPr="00D47871">
        <w:rPr>
          <w:rFonts w:ascii="Times New Roman" w:hAnsi="Times New Roman"/>
          <w:sz w:val="24"/>
          <w:szCs w:val="24"/>
          <w:lang w:val="en-GB"/>
        </w:rPr>
        <w:t xml:space="preserve">The FIONA system is now open for test of Solvency II </w:t>
      </w:r>
      <w:r w:rsidR="00B73828">
        <w:rPr>
          <w:rFonts w:ascii="Times New Roman" w:hAnsi="Times New Roman"/>
          <w:sz w:val="24"/>
          <w:szCs w:val="24"/>
          <w:lang w:val="en-GB"/>
        </w:rPr>
        <w:t xml:space="preserve">QRT </w:t>
      </w:r>
      <w:r w:rsidRPr="00D47871">
        <w:rPr>
          <w:rFonts w:ascii="Times New Roman" w:hAnsi="Times New Roman"/>
          <w:sz w:val="24"/>
          <w:szCs w:val="24"/>
          <w:lang w:val="en-GB"/>
        </w:rPr>
        <w:t>reports</w:t>
      </w:r>
      <w:r w:rsidR="000C7501">
        <w:rPr>
          <w:rFonts w:ascii="Times New Roman" w:hAnsi="Times New Roman"/>
          <w:sz w:val="24"/>
          <w:szCs w:val="24"/>
          <w:lang w:val="en-GB"/>
        </w:rPr>
        <w:t xml:space="preserve"> (version 2.0.1)</w:t>
      </w:r>
      <w:r w:rsidR="00F07C72">
        <w:rPr>
          <w:rFonts w:ascii="Times New Roman" w:hAnsi="Times New Roman"/>
          <w:sz w:val="24"/>
          <w:szCs w:val="24"/>
          <w:lang w:val="en-GB"/>
        </w:rPr>
        <w:t xml:space="preserve"> via manual file upload</w:t>
      </w:r>
      <w:r w:rsidRPr="00D47871">
        <w:rPr>
          <w:rFonts w:ascii="Times New Roman" w:hAnsi="Times New Roman"/>
          <w:sz w:val="24"/>
          <w:szCs w:val="24"/>
          <w:lang w:val="en-GB"/>
        </w:rPr>
        <w:t>.</w:t>
      </w:r>
      <w:r w:rsidR="00F07C72">
        <w:rPr>
          <w:lang w:val="en-GB"/>
        </w:rPr>
        <w:t xml:space="preserve"> </w:t>
      </w:r>
    </w:p>
    <w:p w14:paraId="2E0E3929" w14:textId="77777777" w:rsidR="00D47871" w:rsidRPr="00D47871" w:rsidRDefault="00D47871" w:rsidP="00D47871">
      <w:pPr>
        <w:keepNext/>
        <w:numPr>
          <w:ilvl w:val="0"/>
          <w:numId w:val="6"/>
        </w:numPr>
        <w:tabs>
          <w:tab w:val="left" w:pos="454"/>
        </w:tabs>
        <w:spacing w:before="120" w:after="160" w:line="320" w:lineRule="exact"/>
        <w:jc w:val="left"/>
        <w:outlineLvl w:val="0"/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</w:pPr>
      <w:bookmarkStart w:id="6" w:name="_Toc380079664"/>
      <w:r w:rsidRPr="00D47871"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  <w:t>Delivery of Solvency II test reports</w:t>
      </w:r>
      <w:bookmarkEnd w:id="6"/>
    </w:p>
    <w:p w14:paraId="72B39F93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When you have created your XBRL instance, you should test against the taxonomy before delivery to the collection system</w:t>
      </w:r>
      <w:r w:rsidR="00F07ABF">
        <w:rPr>
          <w:rFonts w:ascii="Times New Roman" w:hAnsi="Times New Roman"/>
          <w:sz w:val="24"/>
          <w:lang w:val="en-GB"/>
        </w:rPr>
        <w:t xml:space="preserve"> (section 2 below describes </w:t>
      </w:r>
      <w:r w:rsidR="00780C71">
        <w:rPr>
          <w:rFonts w:ascii="Times New Roman" w:hAnsi="Times New Roman"/>
          <w:sz w:val="24"/>
          <w:lang w:val="en-GB"/>
        </w:rPr>
        <w:t>d</w:t>
      </w:r>
      <w:r w:rsidR="00505C6E">
        <w:rPr>
          <w:rFonts w:ascii="Times New Roman" w:hAnsi="Times New Roman"/>
          <w:sz w:val="24"/>
          <w:lang w:val="en-GB"/>
        </w:rPr>
        <w:t>elivery to the collection system</w:t>
      </w:r>
      <w:r w:rsidR="00F07ABF">
        <w:rPr>
          <w:rFonts w:ascii="Times New Roman" w:hAnsi="Times New Roman"/>
          <w:sz w:val="24"/>
          <w:lang w:val="en-GB"/>
        </w:rPr>
        <w:t>).</w:t>
      </w:r>
    </w:p>
    <w:p w14:paraId="6FFDC7C1" w14:textId="77777777" w:rsidR="00D47871" w:rsidRPr="00D47871" w:rsidRDefault="00D47871" w:rsidP="00D47871">
      <w:pPr>
        <w:keepNext/>
        <w:numPr>
          <w:ilvl w:val="1"/>
          <w:numId w:val="6"/>
        </w:numPr>
        <w:tabs>
          <w:tab w:val="left" w:pos="454"/>
        </w:tabs>
        <w:spacing w:before="120" w:after="160" w:line="320" w:lineRule="exact"/>
        <w:jc w:val="left"/>
        <w:outlineLvl w:val="1"/>
        <w:rPr>
          <w:rFonts w:ascii="Constantia" w:eastAsiaTheme="majorEastAsia" w:hAnsi="Constantia" w:cstheme="majorBidi"/>
          <w:b/>
          <w:bCs/>
          <w:sz w:val="22"/>
          <w:szCs w:val="26"/>
          <w:lang w:val="en-GB"/>
        </w:rPr>
      </w:pPr>
      <w:bookmarkStart w:id="7" w:name="_Toc380079665"/>
      <w:r w:rsidRPr="00D47871">
        <w:rPr>
          <w:rFonts w:ascii="Constantia" w:eastAsiaTheme="majorEastAsia" w:hAnsi="Constantia" w:cstheme="majorBidi"/>
          <w:b/>
          <w:bCs/>
          <w:sz w:val="22"/>
          <w:szCs w:val="26"/>
          <w:lang w:val="en-GB"/>
        </w:rPr>
        <w:t xml:space="preserve">Parameters to be used at time of </w:t>
      </w:r>
      <w:proofErr w:type="gramStart"/>
      <w:r w:rsidRPr="00D47871">
        <w:rPr>
          <w:rFonts w:ascii="Constantia" w:eastAsiaTheme="majorEastAsia" w:hAnsi="Constantia" w:cstheme="majorBidi"/>
          <w:b/>
          <w:bCs/>
          <w:sz w:val="22"/>
          <w:szCs w:val="26"/>
          <w:lang w:val="en-GB"/>
        </w:rPr>
        <w:t>delivery</w:t>
      </w:r>
      <w:bookmarkEnd w:id="7"/>
      <w:proofErr w:type="gramEnd"/>
    </w:p>
    <w:p w14:paraId="75E532F7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 xml:space="preserve">Reports can be transferred to FIONA in different ways, but in </w:t>
      </w:r>
      <w:r w:rsidR="00F07ABF">
        <w:rPr>
          <w:rFonts w:ascii="Times New Roman" w:hAnsi="Times New Roman"/>
          <w:sz w:val="24"/>
          <w:lang w:val="en-GB"/>
        </w:rPr>
        <w:t>all</w:t>
      </w:r>
      <w:r w:rsidRPr="00D47871">
        <w:rPr>
          <w:rFonts w:ascii="Times New Roman" w:hAnsi="Times New Roman"/>
          <w:sz w:val="24"/>
          <w:lang w:val="en-GB"/>
        </w:rPr>
        <w:t xml:space="preserve"> </w:t>
      </w:r>
      <w:proofErr w:type="gramStart"/>
      <w:r w:rsidRPr="00D47871">
        <w:rPr>
          <w:rFonts w:ascii="Times New Roman" w:hAnsi="Times New Roman"/>
          <w:sz w:val="24"/>
          <w:lang w:val="en-GB"/>
        </w:rPr>
        <w:t>cases</w:t>
      </w:r>
      <w:proofErr w:type="gramEnd"/>
      <w:r w:rsidRPr="00D47871">
        <w:rPr>
          <w:rFonts w:ascii="Times New Roman" w:hAnsi="Times New Roman"/>
          <w:sz w:val="24"/>
          <w:lang w:val="en-GB"/>
        </w:rPr>
        <w:t xml:space="preserve"> you will have to provide the following</w:t>
      </w:r>
      <w:r w:rsidR="007847E4">
        <w:rPr>
          <w:rFonts w:ascii="Times New Roman" w:hAnsi="Times New Roman"/>
          <w:sz w:val="24"/>
          <w:lang w:val="en-GB"/>
        </w:rPr>
        <w:t xml:space="preserve"> parameters at time of delivery:</w:t>
      </w:r>
    </w:p>
    <w:p w14:paraId="74E137AC" w14:textId="77777777" w:rsidR="00D47871" w:rsidRPr="00D47871" w:rsidRDefault="000C750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Reporter ID.</w:t>
      </w:r>
    </w:p>
    <w:p w14:paraId="7F21AAC1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Reporters should identify themselves by means of an "</w:t>
      </w:r>
      <w:proofErr w:type="spellStart"/>
      <w:r w:rsidRPr="00D47871">
        <w:rPr>
          <w:rFonts w:ascii="Times New Roman" w:hAnsi="Times New Roman"/>
          <w:sz w:val="24"/>
          <w:lang w:val="en-GB"/>
        </w:rPr>
        <w:t>FTid</w:t>
      </w:r>
      <w:proofErr w:type="spellEnd"/>
      <w:r w:rsidRPr="00D47871">
        <w:rPr>
          <w:rFonts w:ascii="Times New Roman" w:hAnsi="Times New Roman"/>
          <w:sz w:val="24"/>
          <w:lang w:val="en-GB"/>
        </w:rPr>
        <w:t xml:space="preserve">" from </w:t>
      </w:r>
      <w:proofErr w:type="spellStart"/>
      <w:r w:rsidRPr="00D47871">
        <w:rPr>
          <w:rFonts w:ascii="Times New Roman" w:hAnsi="Times New Roman"/>
          <w:sz w:val="24"/>
          <w:lang w:val="en-GB"/>
        </w:rPr>
        <w:t>Finanstilsynet</w:t>
      </w:r>
      <w:proofErr w:type="spellEnd"/>
      <w:r w:rsidRPr="00D47871">
        <w:rPr>
          <w:rFonts w:ascii="Times New Roman" w:hAnsi="Times New Roman"/>
          <w:sz w:val="24"/>
          <w:lang w:val="en-GB"/>
        </w:rPr>
        <w:t>. This ID</w:t>
      </w:r>
      <w:r w:rsidR="00505C6E">
        <w:rPr>
          <w:rFonts w:ascii="Times New Roman" w:hAnsi="Times New Roman"/>
          <w:sz w:val="24"/>
          <w:lang w:val="en-GB"/>
        </w:rPr>
        <w:t xml:space="preserve"> will normally</w:t>
      </w:r>
      <w:r w:rsidRPr="00D47871">
        <w:rPr>
          <w:rFonts w:ascii="Times New Roman" w:hAnsi="Times New Roman"/>
          <w:sz w:val="24"/>
          <w:lang w:val="en-GB"/>
        </w:rPr>
        <w:t xml:space="preserve"> be the same as your registration number.</w:t>
      </w:r>
    </w:p>
    <w:p w14:paraId="49A0B642" w14:textId="77777777" w:rsidR="000C7501" w:rsidRDefault="000C750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Family.</w:t>
      </w:r>
    </w:p>
    <w:p w14:paraId="357CDD77" w14:textId="77777777" w:rsidR="000C7501" w:rsidRPr="000C7501" w:rsidRDefault="000C750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Choose TestSOL2 for testing purposes.</w:t>
      </w:r>
    </w:p>
    <w:p w14:paraId="1248EFC1" w14:textId="77777777" w:rsidR="000C7501" w:rsidRDefault="000C750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</w:p>
    <w:p w14:paraId="13228A92" w14:textId="77777777" w:rsidR="00D47871" w:rsidRPr="00D47871" w:rsidRDefault="000C750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Period</w:t>
      </w:r>
      <w:r w:rsidR="007847E4">
        <w:rPr>
          <w:rFonts w:ascii="Times New Roman" w:hAnsi="Times New Roman"/>
          <w:i/>
          <w:sz w:val="24"/>
          <w:lang w:val="en-GB"/>
        </w:rPr>
        <w:t xml:space="preserve"> (</w:t>
      </w:r>
      <w:r w:rsidR="00B73828">
        <w:rPr>
          <w:rFonts w:ascii="Times New Roman" w:hAnsi="Times New Roman"/>
          <w:i/>
          <w:sz w:val="24"/>
          <w:lang w:val="en-GB"/>
        </w:rPr>
        <w:t>r</w:t>
      </w:r>
      <w:r w:rsidR="00D47871" w:rsidRPr="00D47871">
        <w:rPr>
          <w:rFonts w:ascii="Times New Roman" w:hAnsi="Times New Roman"/>
          <w:i/>
          <w:sz w:val="24"/>
          <w:lang w:val="en-GB"/>
        </w:rPr>
        <w:t>eference period</w:t>
      </w:r>
      <w:r w:rsidR="007847E4">
        <w:rPr>
          <w:rFonts w:ascii="Times New Roman" w:hAnsi="Times New Roman"/>
          <w:i/>
          <w:sz w:val="24"/>
          <w:lang w:val="en-GB"/>
        </w:rPr>
        <w:t>)</w:t>
      </w:r>
    </w:p>
    <w:p w14:paraId="2F2AB325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The reference period indicates the period the report covers. The reference period could b</w:t>
      </w:r>
      <w:r w:rsidR="00B73828">
        <w:rPr>
          <w:rFonts w:ascii="Times New Roman" w:hAnsi="Times New Roman"/>
          <w:sz w:val="24"/>
          <w:lang w:val="en-GB"/>
        </w:rPr>
        <w:t xml:space="preserve">e </w:t>
      </w:r>
      <w:r w:rsidR="0005400F">
        <w:rPr>
          <w:rFonts w:ascii="Times New Roman" w:hAnsi="Times New Roman"/>
          <w:sz w:val="24"/>
          <w:lang w:val="en-GB"/>
        </w:rPr>
        <w:t>a quarter or a year.</w:t>
      </w:r>
    </w:p>
    <w:p w14:paraId="14275D73" w14:textId="77777777" w:rsidR="00D47871" w:rsidRPr="00D47871" w:rsidRDefault="00D47871" w:rsidP="00D47871">
      <w:pPr>
        <w:tabs>
          <w:tab w:val="left" w:pos="454"/>
        </w:tabs>
        <w:spacing w:line="160" w:lineRule="exact"/>
        <w:jc w:val="left"/>
        <w:rPr>
          <w:rFonts w:ascii="Times New Roman" w:hAnsi="Times New Roman"/>
          <w:sz w:val="24"/>
          <w:lang w:val="en-GB"/>
        </w:rPr>
      </w:pPr>
    </w:p>
    <w:tbl>
      <w:tblPr>
        <w:tblStyle w:val="Tabel-Gitter"/>
        <w:tblW w:w="7621" w:type="dxa"/>
        <w:tblLook w:val="04A0" w:firstRow="1" w:lastRow="0" w:firstColumn="1" w:lastColumn="0" w:noHBand="0" w:noVBand="1"/>
      </w:tblPr>
      <w:tblGrid>
        <w:gridCol w:w="2499"/>
        <w:gridCol w:w="5122"/>
      </w:tblGrid>
      <w:tr w:rsidR="00D47871" w:rsidRPr="00D47871" w14:paraId="19DC90DC" w14:textId="77777777" w:rsidTr="001232B0">
        <w:tc>
          <w:tcPr>
            <w:tcW w:w="2499" w:type="dxa"/>
          </w:tcPr>
          <w:p w14:paraId="4538B16F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4"/>
              </w:rPr>
              <w:t>Frequency</w:t>
            </w:r>
            <w:proofErr w:type="spellEnd"/>
          </w:p>
        </w:tc>
        <w:tc>
          <w:tcPr>
            <w:tcW w:w="5122" w:type="dxa"/>
          </w:tcPr>
          <w:p w14:paraId="2AFBD30E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D47871">
              <w:rPr>
                <w:rFonts w:ascii="Times New Roman" w:hAnsi="Times New Roman"/>
                <w:b/>
                <w:sz w:val="24"/>
              </w:rPr>
              <w:t xml:space="preserve">Reference </w:t>
            </w:r>
            <w:proofErr w:type="spellStart"/>
            <w:r w:rsidRPr="00D47871">
              <w:rPr>
                <w:rFonts w:ascii="Times New Roman" w:hAnsi="Times New Roman"/>
                <w:b/>
                <w:sz w:val="24"/>
              </w:rPr>
              <w:t>period</w:t>
            </w:r>
            <w:proofErr w:type="spellEnd"/>
            <w:r w:rsidRPr="00D4787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47871">
              <w:rPr>
                <w:rFonts w:ascii="Times New Roman" w:hAnsi="Times New Roman"/>
                <w:b/>
                <w:sz w:val="24"/>
              </w:rPr>
              <w:t>identifier</w:t>
            </w:r>
            <w:proofErr w:type="spellEnd"/>
            <w:r w:rsidR="0005400F">
              <w:rPr>
                <w:rFonts w:ascii="Times New Roman" w:hAnsi="Times New Roman"/>
                <w:b/>
                <w:sz w:val="24"/>
              </w:rPr>
              <w:t xml:space="preserve"> (timestamp)</w:t>
            </w:r>
          </w:p>
        </w:tc>
      </w:tr>
      <w:tr w:rsidR="00D47871" w:rsidRPr="006A51AA" w14:paraId="1B027CB2" w14:textId="77777777" w:rsidTr="001232B0">
        <w:tc>
          <w:tcPr>
            <w:tcW w:w="2499" w:type="dxa"/>
          </w:tcPr>
          <w:p w14:paraId="3DAE1A6B" w14:textId="77777777" w:rsidR="00D47871" w:rsidRPr="00D47871" w:rsidRDefault="0005400F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Annual</w:t>
            </w:r>
            <w:proofErr w:type="spellEnd"/>
          </w:p>
        </w:tc>
        <w:tc>
          <w:tcPr>
            <w:tcW w:w="5122" w:type="dxa"/>
          </w:tcPr>
          <w:p w14:paraId="5B38542F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t xml:space="preserve">Year with 4 digits, </w:t>
            </w:r>
            <w:r w:rsidR="00F07ABF">
              <w:rPr>
                <w:rFonts w:ascii="Times New Roman" w:hAnsi="Times New Roman"/>
                <w:sz w:val="24"/>
                <w:lang w:val="en-US"/>
              </w:rPr>
              <w:t>e.g.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 xml:space="preserve">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,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</w:tr>
      <w:tr w:rsidR="00D47871" w:rsidRPr="006A51AA" w14:paraId="26B3120B" w14:textId="77777777" w:rsidTr="001232B0">
        <w:tc>
          <w:tcPr>
            <w:tcW w:w="2499" w:type="dxa"/>
          </w:tcPr>
          <w:p w14:paraId="4976888A" w14:textId="77777777" w:rsidR="00D47871" w:rsidRPr="00393A9F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393A9F">
              <w:rPr>
                <w:rFonts w:ascii="Times New Roman" w:hAnsi="Times New Roman"/>
                <w:sz w:val="24"/>
                <w:lang w:val="en-US"/>
              </w:rPr>
              <w:t>Quarterly</w:t>
            </w:r>
          </w:p>
        </w:tc>
        <w:tc>
          <w:tcPr>
            <w:tcW w:w="5122" w:type="dxa"/>
          </w:tcPr>
          <w:p w14:paraId="6360E1BC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t xml:space="preserve">Year with 4 digits followed by "4" for quarterly and then the number of the quarter, </w:t>
            </w:r>
            <w:r w:rsidR="00F07ABF">
              <w:rPr>
                <w:rFonts w:ascii="Times New Roman" w:hAnsi="Times New Roman"/>
                <w:sz w:val="24"/>
                <w:lang w:val="en-US"/>
              </w:rPr>
              <w:t>e.g.</w:t>
            </w:r>
          </w:p>
          <w:p w14:paraId="16C0CDB4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t>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41 for 1st quarter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14:paraId="7DA03526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t>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42 for 2nd quarter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14:paraId="0623ECF1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t>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43 for 3rd quarter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14:paraId="2B459006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D47871">
              <w:rPr>
                <w:rFonts w:ascii="Times New Roman" w:hAnsi="Times New Roman"/>
                <w:sz w:val="24"/>
                <w:lang w:val="en-US"/>
              </w:rPr>
              <w:lastRenderedPageBreak/>
              <w:t>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44 for 4th quarter 201</w:t>
            </w:r>
            <w:r w:rsidR="00393A9F">
              <w:rPr>
                <w:rFonts w:ascii="Times New Roman" w:hAnsi="Times New Roman"/>
                <w:sz w:val="24"/>
                <w:lang w:val="en-US"/>
              </w:rPr>
              <w:t>5</w:t>
            </w:r>
            <w:r w:rsidRPr="00D47871">
              <w:rPr>
                <w:rFonts w:ascii="Times New Roman" w:hAnsi="Times New Roman"/>
                <w:sz w:val="24"/>
                <w:lang w:val="en-US"/>
              </w:rPr>
              <w:t>,</w:t>
            </w:r>
          </w:p>
        </w:tc>
      </w:tr>
    </w:tbl>
    <w:p w14:paraId="3EC7FDFF" w14:textId="77777777" w:rsidR="00D47871" w:rsidRP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</w:p>
    <w:p w14:paraId="1967FCDA" w14:textId="77777777" w:rsidR="00D47871" w:rsidRPr="00D47871" w:rsidRDefault="00780C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Note that for</w:t>
      </w:r>
      <w:r w:rsidR="00025053">
        <w:rPr>
          <w:rFonts w:ascii="Times New Roman" w:hAnsi="Times New Roman"/>
          <w:b/>
          <w:sz w:val="24"/>
          <w:lang w:val="en-GB"/>
        </w:rPr>
        <w:t xml:space="preserve"> </w:t>
      </w:r>
      <w:r w:rsidR="00D47871" w:rsidRPr="00D47871">
        <w:rPr>
          <w:rFonts w:ascii="Times New Roman" w:hAnsi="Times New Roman"/>
          <w:b/>
          <w:sz w:val="24"/>
          <w:lang w:val="en-GB"/>
        </w:rPr>
        <w:t>Sol</w:t>
      </w:r>
      <w:r w:rsidR="0005400F">
        <w:rPr>
          <w:rFonts w:ascii="Times New Roman" w:hAnsi="Times New Roman"/>
          <w:b/>
          <w:sz w:val="24"/>
          <w:lang w:val="en-GB"/>
        </w:rPr>
        <w:t>vency II test reports the timestamp</w:t>
      </w:r>
      <w:r w:rsidR="00D47871" w:rsidRPr="00D47871">
        <w:rPr>
          <w:rFonts w:ascii="Times New Roman" w:hAnsi="Times New Roman"/>
          <w:b/>
          <w:sz w:val="24"/>
          <w:lang w:val="en-GB"/>
        </w:rPr>
        <w:t xml:space="preserve"> </w:t>
      </w:r>
      <w:r w:rsidR="00B246BA">
        <w:rPr>
          <w:rFonts w:ascii="Times New Roman" w:hAnsi="Times New Roman"/>
          <w:b/>
          <w:sz w:val="24"/>
          <w:lang w:val="en-GB"/>
        </w:rPr>
        <w:t>201542, 201543 or 201544</w:t>
      </w:r>
      <w:r w:rsidR="0005400F" w:rsidRPr="00D47871">
        <w:rPr>
          <w:rFonts w:ascii="Times New Roman" w:hAnsi="Times New Roman"/>
          <w:b/>
          <w:sz w:val="24"/>
          <w:lang w:val="en-GB"/>
        </w:rPr>
        <w:t xml:space="preserve"> </w:t>
      </w:r>
      <w:r w:rsidR="0005400F">
        <w:rPr>
          <w:rFonts w:ascii="Times New Roman" w:hAnsi="Times New Roman"/>
          <w:b/>
          <w:sz w:val="24"/>
          <w:lang w:val="en-GB"/>
        </w:rPr>
        <w:t xml:space="preserve">for quarterly templates </w:t>
      </w:r>
      <w:r w:rsidR="00D47871" w:rsidRPr="00D47871">
        <w:rPr>
          <w:rFonts w:ascii="Times New Roman" w:hAnsi="Times New Roman"/>
          <w:b/>
          <w:sz w:val="24"/>
          <w:lang w:val="en-GB"/>
        </w:rPr>
        <w:t>should</w:t>
      </w:r>
      <w:r w:rsidR="00F131E9">
        <w:rPr>
          <w:rFonts w:ascii="Times New Roman" w:hAnsi="Times New Roman"/>
          <w:b/>
          <w:sz w:val="24"/>
          <w:lang w:val="en-GB"/>
        </w:rPr>
        <w:t xml:space="preserve"> </w:t>
      </w:r>
      <w:r w:rsidR="0005400F">
        <w:rPr>
          <w:rFonts w:ascii="Times New Roman" w:hAnsi="Times New Roman"/>
          <w:b/>
          <w:sz w:val="24"/>
          <w:lang w:val="en-GB"/>
        </w:rPr>
        <w:t>be used</w:t>
      </w:r>
      <w:r w:rsidR="00B246BA">
        <w:rPr>
          <w:rFonts w:ascii="Times New Roman" w:hAnsi="Times New Roman"/>
          <w:b/>
          <w:sz w:val="24"/>
          <w:lang w:val="en-GB"/>
        </w:rPr>
        <w:t xml:space="preserve"> while the timestamp 2015</w:t>
      </w:r>
      <w:r w:rsidR="0002420E">
        <w:rPr>
          <w:rFonts w:ascii="Times New Roman" w:hAnsi="Times New Roman"/>
          <w:b/>
          <w:sz w:val="24"/>
          <w:lang w:val="en-GB"/>
        </w:rPr>
        <w:t xml:space="preserve"> is to</w:t>
      </w:r>
      <w:r w:rsidR="0005400F">
        <w:rPr>
          <w:rFonts w:ascii="Times New Roman" w:hAnsi="Times New Roman"/>
          <w:b/>
          <w:sz w:val="24"/>
          <w:lang w:val="en-GB"/>
        </w:rPr>
        <w:t xml:space="preserve"> be used for annual templates.</w:t>
      </w:r>
    </w:p>
    <w:p w14:paraId="455BE92C" w14:textId="77777777" w:rsidR="00F07C72" w:rsidRDefault="00F07C72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  <w:lang w:val="en-GB"/>
        </w:rPr>
      </w:pPr>
    </w:p>
    <w:p w14:paraId="720D1CBD" w14:textId="77777777" w:rsidR="00D47871" w:rsidRP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</w:p>
    <w:p w14:paraId="7C14841B" w14:textId="77777777" w:rsidR="00D47871" w:rsidRPr="00D47871" w:rsidRDefault="00527185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Collection</w:t>
      </w:r>
      <w:r w:rsidR="007847E4">
        <w:rPr>
          <w:rFonts w:ascii="Times New Roman" w:hAnsi="Times New Roman"/>
          <w:i/>
          <w:sz w:val="24"/>
          <w:lang w:val="en-GB"/>
        </w:rPr>
        <w:t xml:space="preserve"> (</w:t>
      </w:r>
      <w:r w:rsidR="00B97689">
        <w:rPr>
          <w:rFonts w:ascii="Times New Roman" w:hAnsi="Times New Roman"/>
          <w:i/>
          <w:sz w:val="24"/>
          <w:lang w:val="en-GB"/>
        </w:rPr>
        <w:t>r</w:t>
      </w:r>
      <w:r w:rsidR="00655D9F">
        <w:rPr>
          <w:rFonts w:ascii="Times New Roman" w:hAnsi="Times New Roman"/>
          <w:i/>
          <w:sz w:val="24"/>
          <w:lang w:val="en-GB"/>
        </w:rPr>
        <w:t>eport name</w:t>
      </w:r>
      <w:r w:rsidR="007847E4">
        <w:rPr>
          <w:rFonts w:ascii="Times New Roman" w:hAnsi="Times New Roman"/>
          <w:i/>
          <w:sz w:val="24"/>
          <w:lang w:val="en-GB"/>
        </w:rPr>
        <w:t>)</w:t>
      </w:r>
    </w:p>
    <w:p w14:paraId="3A1CECFB" w14:textId="77777777" w:rsidR="00D47871" w:rsidRPr="00D47871" w:rsidRDefault="00D47871" w:rsidP="00EA6E3A">
      <w:pPr>
        <w:keepNext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This is the technical nickname f</w:t>
      </w:r>
      <w:r w:rsidR="00B37D09">
        <w:rPr>
          <w:rFonts w:ascii="Times New Roman" w:hAnsi="Times New Roman"/>
          <w:sz w:val="24"/>
          <w:lang w:val="en-GB"/>
        </w:rPr>
        <w:t xml:space="preserve">or the </w:t>
      </w:r>
      <w:r w:rsidR="00360E44">
        <w:rPr>
          <w:rFonts w:ascii="Times New Roman" w:hAnsi="Times New Roman"/>
          <w:sz w:val="24"/>
          <w:lang w:val="en-GB"/>
        </w:rPr>
        <w:t>report;</w:t>
      </w:r>
      <w:r w:rsidR="00EA6E3A">
        <w:rPr>
          <w:rFonts w:ascii="Times New Roman" w:hAnsi="Times New Roman"/>
          <w:sz w:val="24"/>
          <w:lang w:val="en-GB"/>
        </w:rPr>
        <w:t xml:space="preserve"> cf. the column “</w:t>
      </w:r>
      <w:r w:rsidR="00EA6E3A" w:rsidRPr="00EA6E3A">
        <w:rPr>
          <w:rFonts w:ascii="Times New Roman" w:hAnsi="Times New Roman"/>
          <w:sz w:val="24"/>
          <w:lang w:val="en-GB"/>
        </w:rPr>
        <w:t>FIONA report</w:t>
      </w:r>
      <w:r w:rsidR="00EA6E3A">
        <w:rPr>
          <w:rFonts w:ascii="Times New Roman" w:hAnsi="Times New Roman"/>
          <w:sz w:val="24"/>
          <w:lang w:val="en-GB"/>
        </w:rPr>
        <w:t xml:space="preserve"> </w:t>
      </w:r>
      <w:r w:rsidR="00EA6E3A" w:rsidRPr="00EA6E3A">
        <w:rPr>
          <w:rFonts w:ascii="Times New Roman" w:hAnsi="Times New Roman"/>
          <w:sz w:val="24"/>
          <w:lang w:val="en-GB"/>
        </w:rPr>
        <w:t>name</w:t>
      </w:r>
      <w:r w:rsidR="00527185">
        <w:rPr>
          <w:rFonts w:ascii="Times New Roman" w:hAnsi="Times New Roman"/>
          <w:sz w:val="24"/>
          <w:lang w:val="en-GB"/>
        </w:rPr>
        <w:t>. At present (</w:t>
      </w:r>
      <w:r w:rsidR="00CB7505">
        <w:rPr>
          <w:rFonts w:ascii="Times New Roman" w:hAnsi="Times New Roman"/>
          <w:sz w:val="24"/>
          <w:lang w:val="en-GB"/>
        </w:rPr>
        <w:t>March</w:t>
      </w:r>
      <w:r w:rsidR="00B37D09">
        <w:rPr>
          <w:rFonts w:ascii="Times New Roman" w:hAnsi="Times New Roman"/>
          <w:sz w:val="24"/>
          <w:lang w:val="en-GB"/>
        </w:rPr>
        <w:t xml:space="preserve"> 2015) </w:t>
      </w:r>
      <w:r w:rsidRPr="00D47871">
        <w:rPr>
          <w:rFonts w:ascii="Times New Roman" w:hAnsi="Times New Roman"/>
          <w:sz w:val="24"/>
          <w:lang w:val="en-GB"/>
        </w:rPr>
        <w:t>the following nicknames for XBRL reports</w:t>
      </w:r>
      <w:r w:rsidR="00B37D09">
        <w:rPr>
          <w:rFonts w:ascii="Times New Roman" w:hAnsi="Times New Roman"/>
          <w:sz w:val="24"/>
          <w:lang w:val="en-GB"/>
        </w:rPr>
        <w:t xml:space="preserve"> exist</w:t>
      </w:r>
      <w:r w:rsidRPr="00D47871">
        <w:rPr>
          <w:rFonts w:ascii="Times New Roman" w:hAnsi="Times New Roman"/>
          <w:sz w:val="24"/>
          <w:lang w:val="en-GB"/>
        </w:rPr>
        <w:t>:</w:t>
      </w:r>
    </w:p>
    <w:p w14:paraId="02BC25B0" w14:textId="77777777" w:rsidR="00D47871" w:rsidRPr="00D47871" w:rsidRDefault="00D47871" w:rsidP="00D47871">
      <w:pPr>
        <w:tabs>
          <w:tab w:val="left" w:pos="454"/>
        </w:tabs>
        <w:spacing w:line="160" w:lineRule="exact"/>
        <w:jc w:val="left"/>
        <w:rPr>
          <w:rFonts w:ascii="Times New Roman" w:hAnsi="Times New Roman"/>
          <w:sz w:val="24"/>
          <w:lang w:val="en-GB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5778"/>
        <w:gridCol w:w="1843"/>
        <w:gridCol w:w="1843"/>
      </w:tblGrid>
      <w:tr w:rsidR="00D47871" w:rsidRPr="00EA6E3A" w14:paraId="28B30F68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06FE95E0" w14:textId="77777777" w:rsidR="00D47871" w:rsidRPr="00EA6E3A" w:rsidRDefault="00D47871" w:rsidP="00D47871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EIOPA </w:t>
            </w:r>
            <w:r w:rsidR="00CD21AF"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report type </w:t>
            </w:r>
            <w:r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1843" w:type="dxa"/>
          </w:tcPr>
          <w:p w14:paraId="6FC86A0C" w14:textId="77777777" w:rsidR="00D47871" w:rsidRPr="00EA6E3A" w:rsidRDefault="00F131E9" w:rsidP="00F131E9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Entry </w:t>
            </w:r>
            <w:r w:rsidR="00D47871"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point acronym</w:t>
            </w:r>
          </w:p>
        </w:tc>
        <w:tc>
          <w:tcPr>
            <w:tcW w:w="1843" w:type="dxa"/>
            <w:noWrap/>
          </w:tcPr>
          <w:p w14:paraId="76993D9E" w14:textId="77777777" w:rsidR="00D47871" w:rsidRPr="00EA6E3A" w:rsidRDefault="000144B1" w:rsidP="00D47871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FIONA r</w:t>
            </w:r>
            <w:r w:rsidR="00D47871"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eport</w:t>
            </w:r>
          </w:p>
          <w:p w14:paraId="6FDDBD46" w14:textId="77777777" w:rsidR="00D47871" w:rsidRPr="00EA6E3A" w:rsidRDefault="00D47871" w:rsidP="00D47871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6E3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</w:tr>
      <w:tr w:rsidR="00D47871" w:rsidRPr="00EA6E3A" w14:paraId="5A7D8EE4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7862CEB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01A021D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773ED7CB" w14:textId="77777777" w:rsidR="00D47871" w:rsidRPr="00EA6E3A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EA6E3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ars</w:t>
            </w:r>
            <w:proofErr w:type="spellEnd"/>
          </w:p>
        </w:tc>
        <w:tc>
          <w:tcPr>
            <w:tcW w:w="1843" w:type="dxa"/>
            <w:noWrap/>
          </w:tcPr>
          <w:p w14:paraId="40E98AC5" w14:textId="77777777" w:rsidR="00D47871" w:rsidRPr="00EA6E3A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proofErr w:type="spellStart"/>
            <w:r w:rsidRPr="00EA6E3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TestFARS</w:t>
            </w:r>
            <w:proofErr w:type="spellEnd"/>
          </w:p>
        </w:tc>
      </w:tr>
      <w:tr w:rsidR="00D47871" w:rsidRPr="00D47871" w14:paraId="132C2D73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1DDFAD2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Solvency II reporting </w:t>
            </w:r>
          </w:p>
          <w:p w14:paraId="290363D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021A6722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qrs</w:t>
            </w:r>
            <w:proofErr w:type="spellEnd"/>
          </w:p>
        </w:tc>
        <w:tc>
          <w:tcPr>
            <w:tcW w:w="1843" w:type="dxa"/>
            <w:noWrap/>
          </w:tcPr>
          <w:p w14:paraId="49F33B06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TestFQRS</w:t>
            </w:r>
            <w:proofErr w:type="spellEnd"/>
          </w:p>
        </w:tc>
      </w:tr>
      <w:tr w:rsidR="00D47871" w:rsidRPr="00D47871" w14:paraId="4CAFF1E1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20D85E36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27A2F165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311376E0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d1s</w:t>
            </w:r>
          </w:p>
        </w:tc>
        <w:tc>
          <w:tcPr>
            <w:tcW w:w="1843" w:type="dxa"/>
            <w:noWrap/>
          </w:tcPr>
          <w:p w14:paraId="52C4384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TestFD1S</w:t>
            </w:r>
          </w:p>
        </w:tc>
      </w:tr>
      <w:tr w:rsidR="00D47871" w:rsidRPr="00D47871" w14:paraId="71BC3BB5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14DF28C5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502BD3D9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3C6B1435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arg</w:t>
            </w:r>
          </w:p>
        </w:tc>
        <w:tc>
          <w:tcPr>
            <w:tcW w:w="1843" w:type="dxa"/>
            <w:noWrap/>
          </w:tcPr>
          <w:p w14:paraId="72F31010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TestFARG</w:t>
            </w:r>
            <w:proofErr w:type="spellEnd"/>
          </w:p>
        </w:tc>
      </w:tr>
      <w:tr w:rsidR="00D47871" w:rsidRPr="00D47871" w14:paraId="2345EB2C" w14:textId="77777777" w:rsidTr="001232B0">
        <w:trPr>
          <w:trHeight w:val="300"/>
        </w:trPr>
        <w:tc>
          <w:tcPr>
            <w:tcW w:w="5778" w:type="dxa"/>
            <w:noWrap/>
          </w:tcPr>
          <w:p w14:paraId="5D4B7F5F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Solvency II reporting </w:t>
            </w:r>
          </w:p>
          <w:p w14:paraId="346239A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374A82D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qrg</w:t>
            </w:r>
            <w:proofErr w:type="spellEnd"/>
          </w:p>
        </w:tc>
        <w:tc>
          <w:tcPr>
            <w:tcW w:w="1843" w:type="dxa"/>
            <w:noWrap/>
          </w:tcPr>
          <w:p w14:paraId="408AAE1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TestFQRG</w:t>
            </w:r>
            <w:proofErr w:type="spellEnd"/>
          </w:p>
        </w:tc>
      </w:tr>
      <w:tr w:rsidR="00D47871" w:rsidRPr="00D47871" w14:paraId="77F53D16" w14:textId="77777777" w:rsidTr="001232B0">
        <w:trPr>
          <w:trHeight w:val="300"/>
        </w:trPr>
        <w:tc>
          <w:tcPr>
            <w:tcW w:w="5778" w:type="dxa"/>
            <w:noWrap/>
          </w:tcPr>
          <w:p w14:paraId="4C5BB4A6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752E30F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0818C2A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d1g</w:t>
            </w:r>
          </w:p>
        </w:tc>
        <w:tc>
          <w:tcPr>
            <w:tcW w:w="1843" w:type="dxa"/>
            <w:noWrap/>
          </w:tcPr>
          <w:p w14:paraId="38F05B8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TestFD1G</w:t>
            </w:r>
          </w:p>
        </w:tc>
      </w:tr>
      <w:tr w:rsidR="00D47871" w:rsidRPr="00D47871" w14:paraId="60CE5161" w14:textId="77777777" w:rsidTr="001232B0">
        <w:trPr>
          <w:trHeight w:val="300"/>
        </w:trPr>
        <w:tc>
          <w:tcPr>
            <w:tcW w:w="5778" w:type="dxa"/>
            <w:noWrap/>
          </w:tcPr>
          <w:p w14:paraId="1635616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18E6F30E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6F0727D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arb</w:t>
            </w:r>
            <w:proofErr w:type="spellEnd"/>
          </w:p>
        </w:tc>
        <w:tc>
          <w:tcPr>
            <w:tcW w:w="1843" w:type="dxa"/>
            <w:noWrap/>
          </w:tcPr>
          <w:p w14:paraId="009149F1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TestFARB</w:t>
            </w:r>
            <w:proofErr w:type="spellEnd"/>
          </w:p>
        </w:tc>
      </w:tr>
      <w:tr w:rsidR="00D47871" w:rsidRPr="00D47871" w14:paraId="3328784F" w14:textId="77777777" w:rsidTr="001232B0">
        <w:trPr>
          <w:trHeight w:val="300"/>
        </w:trPr>
        <w:tc>
          <w:tcPr>
            <w:tcW w:w="5778" w:type="dxa"/>
            <w:noWrap/>
          </w:tcPr>
          <w:p w14:paraId="6614E43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Solvency II reporting </w:t>
            </w:r>
          </w:p>
          <w:p w14:paraId="4A84A99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5E6BC160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qrb</w:t>
            </w:r>
            <w:proofErr w:type="spellEnd"/>
          </w:p>
        </w:tc>
        <w:tc>
          <w:tcPr>
            <w:tcW w:w="1843" w:type="dxa"/>
            <w:noWrap/>
          </w:tcPr>
          <w:p w14:paraId="66E67BCE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TestFQRB</w:t>
            </w:r>
            <w:proofErr w:type="spellEnd"/>
          </w:p>
        </w:tc>
      </w:tr>
      <w:tr w:rsidR="00D47871" w:rsidRPr="00D47871" w14:paraId="132B0166" w14:textId="77777777" w:rsidTr="001232B0">
        <w:trPr>
          <w:trHeight w:val="300"/>
        </w:trPr>
        <w:tc>
          <w:tcPr>
            <w:tcW w:w="5778" w:type="dxa"/>
            <w:noWrap/>
          </w:tcPr>
          <w:p w14:paraId="329C4CCF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313B806F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52BAF6FE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d1b</w:t>
            </w:r>
          </w:p>
        </w:tc>
        <w:tc>
          <w:tcPr>
            <w:tcW w:w="1843" w:type="dxa"/>
            <w:noWrap/>
          </w:tcPr>
          <w:p w14:paraId="69A251D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TestFD1B</w:t>
            </w:r>
          </w:p>
        </w:tc>
      </w:tr>
      <w:tr w:rsidR="00D47871" w:rsidRPr="00D47871" w14:paraId="476B0AF0" w14:textId="77777777" w:rsidTr="001232B0">
        <w:trPr>
          <w:trHeight w:val="300"/>
        </w:trPr>
        <w:tc>
          <w:tcPr>
            <w:tcW w:w="5778" w:type="dxa"/>
            <w:noWrap/>
          </w:tcPr>
          <w:p w14:paraId="73E15A6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Financial Stability </w:t>
            </w:r>
          </w:p>
          <w:p w14:paraId="2757068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Solo</w:t>
            </w:r>
          </w:p>
        </w:tc>
        <w:tc>
          <w:tcPr>
            <w:tcW w:w="1843" w:type="dxa"/>
          </w:tcPr>
          <w:p w14:paraId="50A2377E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afs</w:t>
            </w:r>
            <w:proofErr w:type="spellEnd"/>
          </w:p>
        </w:tc>
        <w:tc>
          <w:tcPr>
            <w:tcW w:w="1843" w:type="dxa"/>
            <w:noWrap/>
          </w:tcPr>
          <w:p w14:paraId="7A37BD6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TestFAFS</w:t>
            </w:r>
            <w:proofErr w:type="spellEnd"/>
          </w:p>
        </w:tc>
      </w:tr>
      <w:tr w:rsidR="00D47871" w:rsidRPr="00D47871" w14:paraId="22359327" w14:textId="77777777" w:rsidTr="001232B0">
        <w:trPr>
          <w:trHeight w:val="300"/>
        </w:trPr>
        <w:tc>
          <w:tcPr>
            <w:tcW w:w="5778" w:type="dxa"/>
            <w:noWrap/>
          </w:tcPr>
          <w:p w14:paraId="708F7B44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Financial Stability </w:t>
            </w:r>
          </w:p>
          <w:p w14:paraId="4B78D6F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Solo</w:t>
            </w:r>
          </w:p>
        </w:tc>
        <w:tc>
          <w:tcPr>
            <w:tcW w:w="1843" w:type="dxa"/>
          </w:tcPr>
          <w:p w14:paraId="75DC8857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qfs</w:t>
            </w:r>
            <w:proofErr w:type="spellEnd"/>
          </w:p>
        </w:tc>
        <w:tc>
          <w:tcPr>
            <w:tcW w:w="1843" w:type="dxa"/>
            <w:noWrap/>
          </w:tcPr>
          <w:p w14:paraId="2867690B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TestFQFS</w:t>
            </w:r>
            <w:proofErr w:type="spellEnd"/>
          </w:p>
        </w:tc>
      </w:tr>
      <w:tr w:rsidR="00D47871" w:rsidRPr="00D47871" w14:paraId="7D877317" w14:textId="77777777" w:rsidTr="001232B0">
        <w:trPr>
          <w:trHeight w:val="300"/>
        </w:trPr>
        <w:tc>
          <w:tcPr>
            <w:tcW w:w="5778" w:type="dxa"/>
            <w:noWrap/>
          </w:tcPr>
          <w:p w14:paraId="7C5B15EE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Financial Stability </w:t>
            </w:r>
          </w:p>
          <w:p w14:paraId="4D6558B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Group</w:t>
            </w:r>
          </w:p>
        </w:tc>
        <w:tc>
          <w:tcPr>
            <w:tcW w:w="1843" w:type="dxa"/>
          </w:tcPr>
          <w:p w14:paraId="4408B401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afg</w:t>
            </w:r>
            <w:proofErr w:type="spellEnd"/>
          </w:p>
        </w:tc>
        <w:tc>
          <w:tcPr>
            <w:tcW w:w="1843" w:type="dxa"/>
            <w:noWrap/>
          </w:tcPr>
          <w:p w14:paraId="1CEE5033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TestFAFG</w:t>
            </w:r>
            <w:proofErr w:type="spellEnd"/>
          </w:p>
        </w:tc>
      </w:tr>
      <w:tr w:rsidR="00D47871" w:rsidRPr="00D47871" w14:paraId="577D487D" w14:textId="77777777" w:rsidTr="001232B0">
        <w:trPr>
          <w:trHeight w:val="300"/>
        </w:trPr>
        <w:tc>
          <w:tcPr>
            <w:tcW w:w="5778" w:type="dxa"/>
            <w:noWrap/>
          </w:tcPr>
          <w:p w14:paraId="50572CE5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Financial Stability </w:t>
            </w:r>
          </w:p>
          <w:p w14:paraId="3B622AA1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Group</w:t>
            </w:r>
          </w:p>
        </w:tc>
        <w:tc>
          <w:tcPr>
            <w:tcW w:w="1843" w:type="dxa"/>
          </w:tcPr>
          <w:p w14:paraId="400A295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qfg</w:t>
            </w:r>
            <w:proofErr w:type="spellEnd"/>
          </w:p>
        </w:tc>
        <w:tc>
          <w:tcPr>
            <w:tcW w:w="1843" w:type="dxa"/>
            <w:noWrap/>
          </w:tcPr>
          <w:p w14:paraId="60E1F4E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TestFQFG</w:t>
            </w:r>
            <w:proofErr w:type="spellEnd"/>
          </w:p>
        </w:tc>
      </w:tr>
      <w:tr w:rsidR="00D47871" w:rsidRPr="00D47871" w14:paraId="61FF051C" w14:textId="77777777" w:rsidTr="001232B0">
        <w:trPr>
          <w:trHeight w:val="300"/>
        </w:trPr>
        <w:tc>
          <w:tcPr>
            <w:tcW w:w="5778" w:type="dxa"/>
            <w:noWrap/>
          </w:tcPr>
          <w:p w14:paraId="7C52C5F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 xml:space="preserve">FS 3CB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Individual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Annual</w:t>
            </w:r>
            <w:proofErr w:type="spellEnd"/>
          </w:p>
        </w:tc>
        <w:tc>
          <w:tcPr>
            <w:tcW w:w="1843" w:type="dxa"/>
          </w:tcPr>
          <w:p w14:paraId="0E8082EC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ats</w:t>
            </w:r>
            <w:proofErr w:type="spellEnd"/>
          </w:p>
        </w:tc>
        <w:tc>
          <w:tcPr>
            <w:tcW w:w="1843" w:type="dxa"/>
            <w:noWrap/>
          </w:tcPr>
          <w:p w14:paraId="732B5F96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TestFATS</w:t>
            </w:r>
            <w:proofErr w:type="spellEnd"/>
          </w:p>
        </w:tc>
      </w:tr>
      <w:tr w:rsidR="00D47871" w:rsidRPr="00D47871" w14:paraId="0F9FF508" w14:textId="77777777" w:rsidTr="001232B0">
        <w:trPr>
          <w:trHeight w:val="300"/>
        </w:trPr>
        <w:tc>
          <w:tcPr>
            <w:tcW w:w="5778" w:type="dxa"/>
            <w:noWrap/>
          </w:tcPr>
          <w:p w14:paraId="0F73FAB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 xml:space="preserve">FS 3CB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Individual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Quarterly</w:t>
            </w:r>
            <w:proofErr w:type="spellEnd"/>
          </w:p>
        </w:tc>
        <w:tc>
          <w:tcPr>
            <w:tcW w:w="1843" w:type="dxa"/>
          </w:tcPr>
          <w:p w14:paraId="6F64DA8C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qts</w:t>
            </w:r>
            <w:proofErr w:type="spellEnd"/>
          </w:p>
        </w:tc>
        <w:tc>
          <w:tcPr>
            <w:tcW w:w="1843" w:type="dxa"/>
            <w:noWrap/>
          </w:tcPr>
          <w:p w14:paraId="0B2117E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TestFQTS</w:t>
            </w:r>
            <w:proofErr w:type="spellEnd"/>
          </w:p>
        </w:tc>
      </w:tr>
      <w:tr w:rsidR="00D47871" w:rsidRPr="00D47871" w14:paraId="7F059091" w14:textId="77777777" w:rsidTr="001232B0">
        <w:trPr>
          <w:trHeight w:val="300"/>
        </w:trPr>
        <w:tc>
          <w:tcPr>
            <w:tcW w:w="5778" w:type="dxa"/>
            <w:noWrap/>
          </w:tcPr>
          <w:p w14:paraId="0687F925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Annual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ECB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reporting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Solo</w:t>
            </w:r>
          </w:p>
        </w:tc>
        <w:tc>
          <w:tcPr>
            <w:tcW w:w="1843" w:type="dxa"/>
          </w:tcPr>
          <w:p w14:paraId="296DADA0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aes</w:t>
            </w:r>
          </w:p>
        </w:tc>
        <w:tc>
          <w:tcPr>
            <w:tcW w:w="1843" w:type="dxa"/>
            <w:noWrap/>
          </w:tcPr>
          <w:p w14:paraId="6FAA9AE7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TestFAES</w:t>
            </w:r>
            <w:proofErr w:type="spellEnd"/>
          </w:p>
        </w:tc>
      </w:tr>
      <w:tr w:rsidR="00D47871" w:rsidRPr="00D47871" w14:paraId="25933751" w14:textId="77777777" w:rsidTr="001232B0">
        <w:trPr>
          <w:trHeight w:val="300"/>
        </w:trPr>
        <w:tc>
          <w:tcPr>
            <w:tcW w:w="5778" w:type="dxa"/>
            <w:noWrap/>
          </w:tcPr>
          <w:p w14:paraId="1388063C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Quarterly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ECB </w:t>
            </w:r>
            <w:proofErr w:type="spellStart"/>
            <w:r w:rsidRPr="00D47871">
              <w:rPr>
                <w:rFonts w:ascii="Times New Roman" w:hAnsi="Times New Roman"/>
                <w:sz w:val="22"/>
                <w:szCs w:val="22"/>
              </w:rPr>
              <w:t>reporting</w:t>
            </w:r>
            <w:proofErr w:type="spellEnd"/>
            <w:r w:rsidRPr="00D47871">
              <w:rPr>
                <w:rFonts w:ascii="Times New Roman" w:hAnsi="Times New Roman"/>
                <w:sz w:val="22"/>
                <w:szCs w:val="22"/>
              </w:rPr>
              <w:t xml:space="preserve"> Solo</w:t>
            </w:r>
          </w:p>
        </w:tc>
        <w:tc>
          <w:tcPr>
            <w:tcW w:w="1843" w:type="dxa"/>
          </w:tcPr>
          <w:p w14:paraId="6463F380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qes</w:t>
            </w:r>
            <w:proofErr w:type="spellEnd"/>
          </w:p>
        </w:tc>
        <w:tc>
          <w:tcPr>
            <w:tcW w:w="1843" w:type="dxa"/>
            <w:noWrap/>
          </w:tcPr>
          <w:p w14:paraId="69816F2E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TestFQES</w:t>
            </w:r>
            <w:proofErr w:type="spellEnd"/>
          </w:p>
        </w:tc>
      </w:tr>
      <w:tr w:rsidR="00D47871" w:rsidRPr="00D47871" w14:paraId="6B907962" w14:textId="77777777" w:rsidTr="001232B0">
        <w:trPr>
          <w:trHeight w:val="300"/>
        </w:trPr>
        <w:tc>
          <w:tcPr>
            <w:tcW w:w="5778" w:type="dxa"/>
            <w:noWrap/>
          </w:tcPr>
          <w:p w14:paraId="1BBDDEB8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ECB reporting </w:t>
            </w:r>
            <w:proofErr w:type="gramStart"/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</w:t>
            </w:r>
            <w:proofErr w:type="gramEnd"/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5E15E679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country branches</w:t>
            </w:r>
          </w:p>
        </w:tc>
        <w:tc>
          <w:tcPr>
            <w:tcW w:w="1843" w:type="dxa"/>
          </w:tcPr>
          <w:p w14:paraId="0937A18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1843" w:type="dxa"/>
            <w:noWrap/>
          </w:tcPr>
          <w:p w14:paraId="363D5FC9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TestFAEB</w:t>
            </w:r>
            <w:proofErr w:type="spellEnd"/>
          </w:p>
        </w:tc>
      </w:tr>
      <w:tr w:rsidR="00D47871" w:rsidRPr="00D47871" w14:paraId="46B9DFF7" w14:textId="77777777" w:rsidTr="001232B0">
        <w:trPr>
          <w:trHeight w:val="300"/>
        </w:trPr>
        <w:tc>
          <w:tcPr>
            <w:tcW w:w="5778" w:type="dxa"/>
            <w:noWrap/>
          </w:tcPr>
          <w:p w14:paraId="208D9CD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ECB reporting </w:t>
            </w:r>
            <w:proofErr w:type="gramStart"/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</w:t>
            </w:r>
            <w:proofErr w:type="gramEnd"/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73C7924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country branches</w:t>
            </w:r>
          </w:p>
        </w:tc>
        <w:tc>
          <w:tcPr>
            <w:tcW w:w="1843" w:type="dxa"/>
          </w:tcPr>
          <w:p w14:paraId="4A441013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qeb</w:t>
            </w:r>
            <w:proofErr w:type="spellEnd"/>
          </w:p>
        </w:tc>
        <w:tc>
          <w:tcPr>
            <w:tcW w:w="1843" w:type="dxa"/>
            <w:noWrap/>
          </w:tcPr>
          <w:p w14:paraId="30299806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TestFQEB</w:t>
            </w:r>
            <w:proofErr w:type="spellEnd"/>
          </w:p>
        </w:tc>
      </w:tr>
      <w:tr w:rsidR="00D47871" w:rsidRPr="00D47871" w14:paraId="79D658AA" w14:textId="77777777" w:rsidTr="001232B0">
        <w:trPr>
          <w:trHeight w:val="300"/>
        </w:trPr>
        <w:tc>
          <w:tcPr>
            <w:tcW w:w="5778" w:type="dxa"/>
            <w:noWrap/>
          </w:tcPr>
          <w:p w14:paraId="63D1F30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reporting Special </w:t>
            </w:r>
          </w:p>
          <w:p w14:paraId="086432E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Purpose Vehicles</w:t>
            </w:r>
          </w:p>
        </w:tc>
        <w:tc>
          <w:tcPr>
            <w:tcW w:w="1843" w:type="dxa"/>
          </w:tcPr>
          <w:p w14:paraId="07016A9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spv</w:t>
            </w:r>
            <w:proofErr w:type="spellEnd"/>
          </w:p>
        </w:tc>
        <w:tc>
          <w:tcPr>
            <w:tcW w:w="1843" w:type="dxa"/>
            <w:noWrap/>
          </w:tcPr>
          <w:p w14:paraId="5C63C055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TestFSPV</w:t>
            </w:r>
            <w:proofErr w:type="spellEnd"/>
          </w:p>
        </w:tc>
      </w:tr>
    </w:tbl>
    <w:p w14:paraId="2F145F28" w14:textId="77777777" w:rsidR="00D47871" w:rsidRP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</w:p>
    <w:p w14:paraId="3B933C80" w14:textId="77777777" w:rsidR="00D47871" w:rsidRDefault="00393A9F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FIONA is presently using</w:t>
      </w:r>
      <w:r w:rsidR="00D47871" w:rsidRPr="00D47871">
        <w:rPr>
          <w:rFonts w:ascii="Times New Roman" w:hAnsi="Times New Roman"/>
          <w:sz w:val="24"/>
          <w:lang w:val="en-GB"/>
        </w:rPr>
        <w:t xml:space="preserve"> </w:t>
      </w:r>
      <w:r w:rsidR="00EB3204">
        <w:rPr>
          <w:rFonts w:ascii="Times New Roman" w:hAnsi="Times New Roman"/>
          <w:sz w:val="24"/>
          <w:lang w:val="en-GB"/>
        </w:rPr>
        <w:t>EIOPA DPM/Taxonomy version 2.0.1</w:t>
      </w:r>
      <w:r w:rsidR="00D47871" w:rsidRPr="00D47871">
        <w:rPr>
          <w:rFonts w:ascii="Times New Roman" w:hAnsi="Times New Roman"/>
          <w:sz w:val="24"/>
          <w:lang w:val="en-GB"/>
        </w:rPr>
        <w:t>.</w:t>
      </w:r>
    </w:p>
    <w:p w14:paraId="1A84D278" w14:textId="77777777" w:rsidR="002E476C" w:rsidRPr="00D47871" w:rsidRDefault="002E476C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</w:p>
    <w:p w14:paraId="748B0282" w14:textId="77777777" w:rsidR="00D47871" w:rsidRP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</w:p>
    <w:p w14:paraId="13EC28EB" w14:textId="77777777" w:rsidR="00D47871" w:rsidRPr="00D47871" w:rsidRDefault="00D47871" w:rsidP="00D47871">
      <w:pPr>
        <w:keepNext/>
        <w:numPr>
          <w:ilvl w:val="0"/>
          <w:numId w:val="6"/>
        </w:numPr>
        <w:tabs>
          <w:tab w:val="left" w:pos="454"/>
        </w:tabs>
        <w:spacing w:before="120" w:after="160" w:line="320" w:lineRule="exact"/>
        <w:jc w:val="left"/>
        <w:outlineLvl w:val="0"/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</w:pPr>
      <w:bookmarkStart w:id="8" w:name="_Toc380079666"/>
      <w:r w:rsidRPr="00D47871"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  <w:lastRenderedPageBreak/>
        <w:t>Delivery of report via FIONA Online portal</w:t>
      </w:r>
      <w:bookmarkEnd w:id="8"/>
    </w:p>
    <w:p w14:paraId="65EA843A" w14:textId="77777777" w:rsidR="002E476C" w:rsidRDefault="002E476C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Please be aware that a new version of Fiona Online (called Fiona Online 2) has been installed. URL for FO2: </w:t>
      </w:r>
      <w:r w:rsidR="00000000">
        <w:fldChar w:fldCharType="begin"/>
      </w:r>
      <w:r w:rsidR="00000000" w:rsidRPr="006A51AA">
        <w:rPr>
          <w:lang w:val="en-US"/>
        </w:rPr>
        <w:instrText>HYPERLINK "https://fionaonline.nationalbanken.dk"</w:instrText>
      </w:r>
      <w:r w:rsidR="00000000">
        <w:fldChar w:fldCharType="separate"/>
      </w:r>
      <w:r w:rsidR="00281F81" w:rsidRPr="00281F81">
        <w:rPr>
          <w:rStyle w:val="Hyperlink"/>
          <w:rFonts w:ascii="Times New Roman" w:hAnsi="Times New Roman"/>
          <w:sz w:val="24"/>
          <w:lang w:val="en-US"/>
        </w:rPr>
        <w:t>https://fionaonline.nationalbanken.dk</w:t>
      </w:r>
      <w:r w:rsidR="00000000">
        <w:rPr>
          <w:rStyle w:val="Hyperlink"/>
          <w:rFonts w:ascii="Times New Roman" w:hAnsi="Times New Roman"/>
          <w:sz w:val="24"/>
          <w:lang w:val="en-US"/>
        </w:rPr>
        <w:fldChar w:fldCharType="end"/>
      </w:r>
    </w:p>
    <w:p w14:paraId="70DFA27F" w14:textId="77777777" w:rsidR="002E476C" w:rsidRDefault="00281F8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It is recommended to use FO2.</w:t>
      </w:r>
    </w:p>
    <w:p w14:paraId="4E69E4E3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You can deliver your XBRL instance in the online po</w:t>
      </w:r>
      <w:r w:rsidR="00D241ED">
        <w:rPr>
          <w:rFonts w:ascii="Times New Roman" w:hAnsi="Times New Roman"/>
          <w:sz w:val="24"/>
          <w:lang w:val="en-GB"/>
        </w:rPr>
        <w:t xml:space="preserve">rtal, by choosing "Submit </w:t>
      </w:r>
      <w:proofErr w:type="spellStart"/>
      <w:r w:rsidR="00D241ED">
        <w:rPr>
          <w:rFonts w:ascii="Times New Roman" w:hAnsi="Times New Roman"/>
          <w:sz w:val="24"/>
          <w:lang w:val="en-GB"/>
        </w:rPr>
        <w:t>reportfile</w:t>
      </w:r>
      <w:proofErr w:type="spellEnd"/>
      <w:r w:rsidR="00D241ED">
        <w:rPr>
          <w:rFonts w:ascii="Times New Roman" w:hAnsi="Times New Roman"/>
          <w:sz w:val="24"/>
          <w:lang w:val="en-GB"/>
        </w:rPr>
        <w:t>" in the right</w:t>
      </w:r>
      <w:r w:rsidRPr="00D47871">
        <w:rPr>
          <w:rFonts w:ascii="Times New Roman" w:hAnsi="Times New Roman"/>
          <w:sz w:val="24"/>
          <w:lang w:val="en-GB"/>
        </w:rPr>
        <w:t xml:space="preserve"> menu bar. This will open a dialogue box where you must specify the four parameters described in the previous paragraph.</w:t>
      </w:r>
      <w:r w:rsidR="00D241ED">
        <w:rPr>
          <w:rFonts w:ascii="Times New Roman" w:hAnsi="Times New Roman"/>
          <w:sz w:val="24"/>
          <w:lang w:val="en-GB"/>
        </w:rPr>
        <w:t xml:space="preserve"> See the screenshot below.</w:t>
      </w:r>
    </w:p>
    <w:p w14:paraId="4F7EB0F4" w14:textId="77777777" w:rsidR="00D47871" w:rsidRDefault="0022014E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Choose file to upload</w:t>
      </w:r>
      <w:r w:rsidR="00D47871" w:rsidRPr="00D47871">
        <w:rPr>
          <w:rFonts w:ascii="Times New Roman" w:hAnsi="Times New Roman"/>
          <w:sz w:val="24"/>
          <w:lang w:val="en-GB"/>
        </w:rPr>
        <w:t xml:space="preserve">. </w:t>
      </w:r>
    </w:p>
    <w:p w14:paraId="4A576E56" w14:textId="77777777" w:rsidR="00411072" w:rsidRDefault="00411072" w:rsidP="00411072">
      <w:pPr>
        <w:spacing w:after="160" w:line="320" w:lineRule="exact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Due to an error in FO2 the chosen file type of the upload file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GB"/>
        </w:rPr>
        <w:t>has to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be .xml, although the content of the file should be 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GB"/>
        </w:rPr>
        <w:t>xbrl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format. Therefore, rename the extension of your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GB"/>
        </w:rPr>
        <w:t>xbrl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file to .xml, choose the file type .xml and upload your file. This error is expected to be </w:t>
      </w:r>
      <w:r w:rsidR="00663B28">
        <w:rPr>
          <w:rFonts w:ascii="Times New Roman" w:hAnsi="Times New Roman"/>
          <w:b/>
          <w:bCs/>
          <w:sz w:val="24"/>
          <w:szCs w:val="24"/>
          <w:lang w:val="en-GB"/>
        </w:rPr>
        <w:t>re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solved by end-April.</w:t>
      </w:r>
    </w:p>
    <w:p w14:paraId="1730B016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You can choo</w:t>
      </w:r>
      <w:r w:rsidR="0022014E">
        <w:rPr>
          <w:rFonts w:ascii="Times New Roman" w:hAnsi="Times New Roman"/>
          <w:sz w:val="24"/>
          <w:lang w:val="en-GB"/>
        </w:rPr>
        <w:t>se between "Validate" and "Submit</w:t>
      </w:r>
      <w:r w:rsidRPr="00D47871">
        <w:rPr>
          <w:rFonts w:ascii="Times New Roman" w:hAnsi="Times New Roman"/>
          <w:sz w:val="24"/>
          <w:lang w:val="en-GB"/>
        </w:rPr>
        <w:t xml:space="preserve">". </w:t>
      </w:r>
    </w:p>
    <w:p w14:paraId="41E00379" w14:textId="77777777" w:rsidR="00D47871" w:rsidRPr="00D47871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"</w:t>
      </w:r>
      <w:r w:rsidRPr="00D47871">
        <w:rPr>
          <w:rFonts w:ascii="Times New Roman" w:hAnsi="Times New Roman"/>
          <w:sz w:val="24"/>
          <w:u w:val="single"/>
          <w:lang w:val="en-GB"/>
        </w:rPr>
        <w:t>Valid</w:t>
      </w:r>
      <w:r w:rsidR="00602658">
        <w:rPr>
          <w:rFonts w:ascii="Times New Roman" w:hAnsi="Times New Roman"/>
          <w:sz w:val="24"/>
          <w:u w:val="single"/>
          <w:lang w:val="en-GB"/>
        </w:rPr>
        <w:t>ate</w:t>
      </w:r>
      <w:r w:rsidRPr="00D47871">
        <w:rPr>
          <w:rFonts w:ascii="Times New Roman" w:hAnsi="Times New Roman"/>
          <w:sz w:val="24"/>
          <w:lang w:val="en-GB"/>
        </w:rPr>
        <w:t>" will perform a format validation against the</w:t>
      </w:r>
      <w:r w:rsidR="00C10517">
        <w:rPr>
          <w:rFonts w:ascii="Times New Roman" w:hAnsi="Times New Roman"/>
          <w:sz w:val="24"/>
          <w:lang w:val="en-GB"/>
        </w:rPr>
        <w:t xml:space="preserve"> relevant</w:t>
      </w:r>
      <w:r w:rsidRPr="00D47871">
        <w:rPr>
          <w:rFonts w:ascii="Times New Roman" w:hAnsi="Times New Roman"/>
          <w:sz w:val="24"/>
          <w:lang w:val="en-GB"/>
        </w:rPr>
        <w:t xml:space="preserve"> </w:t>
      </w:r>
      <w:r w:rsidR="003D7639">
        <w:rPr>
          <w:rFonts w:ascii="Times New Roman" w:hAnsi="Times New Roman"/>
          <w:sz w:val="24"/>
          <w:lang w:val="en-GB"/>
        </w:rPr>
        <w:t>DPM/</w:t>
      </w:r>
      <w:r w:rsidRPr="00D47871">
        <w:rPr>
          <w:rFonts w:ascii="Times New Roman" w:hAnsi="Times New Roman"/>
          <w:sz w:val="24"/>
          <w:lang w:val="en-GB"/>
        </w:rPr>
        <w:t xml:space="preserve">taxonomy. The report will not be saved in any databases and consequently not registered as delivered. Any errors </w:t>
      </w:r>
      <w:r w:rsidR="00602658">
        <w:rPr>
          <w:rFonts w:ascii="Times New Roman" w:hAnsi="Times New Roman"/>
          <w:sz w:val="24"/>
          <w:lang w:val="en-GB"/>
        </w:rPr>
        <w:t>will be shown in the "Result</w:t>
      </w:r>
      <w:r w:rsidRPr="00D47871">
        <w:rPr>
          <w:rFonts w:ascii="Times New Roman" w:hAnsi="Times New Roman"/>
          <w:sz w:val="24"/>
          <w:lang w:val="en-GB"/>
        </w:rPr>
        <w:t xml:space="preserve"> panel</w:t>
      </w:r>
      <w:r w:rsidR="00602658">
        <w:rPr>
          <w:rFonts w:ascii="Times New Roman" w:hAnsi="Times New Roman"/>
          <w:sz w:val="24"/>
          <w:lang w:val="en-GB"/>
        </w:rPr>
        <w:t>” on the right side of the screen</w:t>
      </w:r>
      <w:r w:rsidRPr="00D47871">
        <w:rPr>
          <w:rFonts w:ascii="Times New Roman" w:hAnsi="Times New Roman"/>
          <w:sz w:val="24"/>
          <w:lang w:val="en-GB"/>
        </w:rPr>
        <w:t>.</w:t>
      </w:r>
    </w:p>
    <w:p w14:paraId="49F21DBC" w14:textId="77777777" w:rsidR="00D47871" w:rsidRPr="007847E4" w:rsidRDefault="00D47871" w:rsidP="007847E4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  <w:lang w:val="en-GB"/>
        </w:rPr>
      </w:pPr>
      <w:r w:rsidRPr="00D47871">
        <w:rPr>
          <w:rFonts w:ascii="Times New Roman" w:hAnsi="Times New Roman"/>
          <w:sz w:val="24"/>
          <w:lang w:val="en-GB"/>
        </w:rPr>
        <w:t>"</w:t>
      </w:r>
      <w:r w:rsidR="00602658">
        <w:rPr>
          <w:rFonts w:ascii="Times New Roman" w:hAnsi="Times New Roman"/>
          <w:sz w:val="24"/>
          <w:u w:val="single"/>
          <w:lang w:val="en-GB"/>
        </w:rPr>
        <w:t>Submit</w:t>
      </w:r>
      <w:r w:rsidRPr="00D47871">
        <w:rPr>
          <w:rFonts w:ascii="Times New Roman" w:hAnsi="Times New Roman"/>
          <w:sz w:val="24"/>
          <w:lang w:val="en-GB"/>
        </w:rPr>
        <w:t xml:space="preserve">" will deliver the report to FIONA. After format validation against the relevant </w:t>
      </w:r>
      <w:r w:rsidR="00C10517">
        <w:rPr>
          <w:rFonts w:ascii="Times New Roman" w:hAnsi="Times New Roman"/>
          <w:sz w:val="24"/>
          <w:lang w:val="en-GB"/>
        </w:rPr>
        <w:t>DPM/</w:t>
      </w:r>
      <w:r w:rsidRPr="00D47871">
        <w:rPr>
          <w:rFonts w:ascii="Times New Roman" w:hAnsi="Times New Roman"/>
          <w:sz w:val="24"/>
          <w:lang w:val="en-GB"/>
        </w:rPr>
        <w:t>taxonomy the report will be saved in FIONA's databases and registered as received. Should any errors be found during the format cont</w:t>
      </w:r>
      <w:r w:rsidR="00460C29">
        <w:rPr>
          <w:rFonts w:ascii="Times New Roman" w:hAnsi="Times New Roman"/>
          <w:sz w:val="24"/>
          <w:lang w:val="en-GB"/>
        </w:rPr>
        <w:t>rol it will be shown in the “Result</w:t>
      </w:r>
      <w:r w:rsidRPr="00D47871">
        <w:rPr>
          <w:rFonts w:ascii="Times New Roman" w:hAnsi="Times New Roman"/>
          <w:sz w:val="24"/>
          <w:lang w:val="en-GB"/>
        </w:rPr>
        <w:t xml:space="preserve"> panel</w:t>
      </w:r>
      <w:r w:rsidR="00460C29">
        <w:rPr>
          <w:rFonts w:ascii="Times New Roman" w:hAnsi="Times New Roman"/>
          <w:sz w:val="24"/>
          <w:lang w:val="en-GB"/>
        </w:rPr>
        <w:t>” on the right side of the screen</w:t>
      </w:r>
      <w:r w:rsidRPr="00D47871">
        <w:rPr>
          <w:rFonts w:ascii="Times New Roman" w:hAnsi="Times New Roman"/>
          <w:sz w:val="24"/>
          <w:lang w:val="en-GB"/>
        </w:rPr>
        <w:t>, and you are expected to correct the error(s) and deliver a new XBRL instance.</w:t>
      </w:r>
      <w:r>
        <w:rPr>
          <w:lang w:val="en-GB"/>
        </w:rPr>
        <w:br w:type="page"/>
      </w:r>
    </w:p>
    <w:p w14:paraId="686B9AE6" w14:textId="77777777" w:rsidR="00D47871" w:rsidRDefault="00F87198" w:rsidP="00774179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19E1939" wp14:editId="793A684F">
            <wp:simplePos x="0" y="0"/>
            <wp:positionH relativeFrom="column">
              <wp:posOffset>-473710</wp:posOffset>
            </wp:positionH>
            <wp:positionV relativeFrom="paragraph">
              <wp:posOffset>-28574</wp:posOffset>
            </wp:positionV>
            <wp:extent cx="6838950" cy="262890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2_upload_e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540" cy="263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24F16" w14:textId="77777777" w:rsidR="00F87198" w:rsidRDefault="00F87198" w:rsidP="00774179">
      <w:pPr>
        <w:rPr>
          <w:lang w:val="en-GB"/>
        </w:rPr>
      </w:pPr>
    </w:p>
    <w:p w14:paraId="5640B730" w14:textId="77777777" w:rsidR="00F87198" w:rsidRDefault="00F87198" w:rsidP="00774179">
      <w:pPr>
        <w:rPr>
          <w:lang w:val="en-GB"/>
        </w:rPr>
      </w:pPr>
    </w:p>
    <w:p w14:paraId="0BC08F20" w14:textId="77777777" w:rsidR="00F87198" w:rsidRDefault="00F87198" w:rsidP="00774179">
      <w:pPr>
        <w:rPr>
          <w:lang w:val="en-GB"/>
        </w:rPr>
      </w:pPr>
    </w:p>
    <w:p w14:paraId="753F6B34" w14:textId="77777777" w:rsidR="00F87198" w:rsidRDefault="00F87198" w:rsidP="00774179">
      <w:pPr>
        <w:rPr>
          <w:lang w:val="en-GB"/>
        </w:rPr>
      </w:pPr>
    </w:p>
    <w:p w14:paraId="1D00AD05" w14:textId="77777777" w:rsidR="00F87198" w:rsidRDefault="00F87198" w:rsidP="00774179">
      <w:pPr>
        <w:rPr>
          <w:lang w:val="en-GB"/>
        </w:rPr>
      </w:pPr>
    </w:p>
    <w:p w14:paraId="3DFA477F" w14:textId="77777777" w:rsidR="00F87198" w:rsidRDefault="00F87198" w:rsidP="00774179">
      <w:pPr>
        <w:rPr>
          <w:lang w:val="en-GB"/>
        </w:rPr>
      </w:pPr>
    </w:p>
    <w:p w14:paraId="4595B332" w14:textId="77777777" w:rsidR="00F87198" w:rsidRDefault="00F87198" w:rsidP="00774179">
      <w:pPr>
        <w:rPr>
          <w:lang w:val="en-GB"/>
        </w:rPr>
      </w:pPr>
    </w:p>
    <w:p w14:paraId="1B0859C3" w14:textId="77777777" w:rsidR="00F87198" w:rsidRDefault="00F87198" w:rsidP="00774179">
      <w:pPr>
        <w:rPr>
          <w:lang w:val="en-GB"/>
        </w:rPr>
      </w:pPr>
    </w:p>
    <w:p w14:paraId="2A684417" w14:textId="77777777" w:rsidR="00F87198" w:rsidRPr="00B06930" w:rsidRDefault="00F87198" w:rsidP="00774179">
      <w:pPr>
        <w:rPr>
          <w:lang w:val="en-GB"/>
        </w:rPr>
      </w:pPr>
    </w:p>
    <w:p w14:paraId="7D08ED4F" w14:textId="77777777" w:rsidR="00163A8D" w:rsidRDefault="00163A8D" w:rsidP="00774179">
      <w:pPr>
        <w:rPr>
          <w:lang w:val="en-GB"/>
        </w:rPr>
      </w:pPr>
    </w:p>
    <w:p w14:paraId="5A84F06D" w14:textId="77777777" w:rsidR="00E56243" w:rsidRDefault="00E56243" w:rsidP="00774179">
      <w:pPr>
        <w:rPr>
          <w:lang w:val="en-GB"/>
        </w:rPr>
      </w:pPr>
    </w:p>
    <w:p w14:paraId="390861D6" w14:textId="77777777" w:rsidR="00E56243" w:rsidRPr="00D47871" w:rsidRDefault="00E56243" w:rsidP="008C295B">
      <w:pPr>
        <w:rPr>
          <w:lang w:val="en-US"/>
        </w:rPr>
      </w:pPr>
    </w:p>
    <w:sectPr w:rsidR="00E56243" w:rsidRPr="00D47871" w:rsidSect="005265C7">
      <w:headerReference w:type="default" r:id="rId9"/>
      <w:headerReference w:type="first" r:id="rId10"/>
      <w:footerReference w:type="first" r:id="rId11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BB78" w14:textId="77777777" w:rsidR="00B36D7F" w:rsidRDefault="00B36D7F">
      <w:pPr>
        <w:spacing w:line="240" w:lineRule="auto"/>
      </w:pPr>
      <w:r>
        <w:separator/>
      </w:r>
    </w:p>
  </w:endnote>
  <w:endnote w:type="continuationSeparator" w:id="0">
    <w:p w14:paraId="11754694" w14:textId="77777777" w:rsidR="00B36D7F" w:rsidRDefault="00B36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F590" w14:textId="77777777" w:rsidR="00E56243" w:rsidRPr="00393A9F" w:rsidRDefault="00A82827" w:rsidP="000E5781">
    <w:pPr>
      <w:pStyle w:val="Sidefod"/>
    </w:pPr>
    <w:r>
      <w:fldChar w:fldCharType="begin"/>
    </w:r>
    <w:r w:rsidRPr="00393A9F">
      <w:instrText xml:space="preserve"> FILENAME \p </w:instrText>
    </w:r>
    <w:r>
      <w:fldChar w:fldCharType="separate"/>
    </w:r>
    <w:r w:rsidR="00C43B36">
      <w:rPr>
        <w:noProof/>
      </w:rPr>
      <w:t>C:\Users\kri\Desktop\FIONA_test_SII_engelsk.docx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7ADA" w14:textId="77777777" w:rsidR="00B36D7F" w:rsidRDefault="00B36D7F">
      <w:pPr>
        <w:spacing w:line="240" w:lineRule="auto"/>
      </w:pPr>
      <w:r>
        <w:separator/>
      </w:r>
    </w:p>
  </w:footnote>
  <w:footnote w:type="continuationSeparator" w:id="0">
    <w:p w14:paraId="5088E083" w14:textId="77777777" w:rsidR="00B36D7F" w:rsidRDefault="00B36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79B1" w14:textId="77777777" w:rsidR="00E56243" w:rsidRDefault="009C43E1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E56243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63B28">
      <w:rPr>
        <w:rStyle w:val="Sidetal"/>
        <w:noProof/>
      </w:rPr>
      <w:t>4</w:t>
    </w:r>
    <w:r>
      <w:rPr>
        <w:rStyle w:val="Sidetal"/>
      </w:rPr>
      <w:fldChar w:fldCharType="end"/>
    </w:r>
    <w:r w:rsidR="00E56243">
      <w:rPr>
        <w:rStyle w:val="Sidetal"/>
      </w:rPr>
      <w:t>/</w:t>
    </w:r>
    <w:r>
      <w:rPr>
        <w:rStyle w:val="Sidetal"/>
      </w:rPr>
      <w:fldChar w:fldCharType="begin"/>
    </w:r>
    <w:r w:rsidR="00E56243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663B28">
      <w:rPr>
        <w:rStyle w:val="Sidetal"/>
        <w:noProof/>
      </w:rPr>
      <w:t>5</w:t>
    </w:r>
    <w:r>
      <w:rPr>
        <w:rStyle w:val="Sidetal"/>
      </w:rPr>
      <w:fldChar w:fldCharType="end"/>
    </w:r>
  </w:p>
  <w:p w14:paraId="44233632" w14:textId="77777777" w:rsidR="00E56243" w:rsidRDefault="00E56243">
    <w:pPr>
      <w:framePr w:w="1531" w:h="851" w:wrap="around" w:vAnchor="page" w:hAnchor="page" w:x="9186" w:y="721"/>
    </w:pPr>
  </w:p>
  <w:p w14:paraId="15E2ED2A" w14:textId="77777777" w:rsidR="00E56243" w:rsidRDefault="00E56243">
    <w:pPr>
      <w:framePr w:w="1531" w:h="851" w:wrap="around" w:vAnchor="page" w:hAnchor="page" w:x="9186" w:y="721"/>
    </w:pPr>
  </w:p>
  <w:p w14:paraId="3DB1254C" w14:textId="77777777" w:rsidR="00E56243" w:rsidRDefault="00E562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D9B1" w14:textId="77777777" w:rsidR="00E56243" w:rsidRDefault="00E56243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C2A1D85" wp14:editId="76BB690E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646FA" w14:textId="77777777" w:rsidR="00E56243" w:rsidRDefault="00E56243">
    <w:pPr>
      <w:pStyle w:val="Sidehoved"/>
    </w:pPr>
  </w:p>
  <w:p w14:paraId="63AD98F8" w14:textId="77777777" w:rsidR="00E56243" w:rsidRPr="00B06930" w:rsidRDefault="00016043">
    <w:pPr>
      <w:pStyle w:val="Sidehoved"/>
      <w:rPr>
        <w:rFonts w:ascii="Arial Black" w:hAnsi="Arial Black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A341A" wp14:editId="186D8038">
              <wp:simplePos x="0" y="0"/>
              <wp:positionH relativeFrom="column">
                <wp:posOffset>-76200</wp:posOffset>
              </wp:positionH>
              <wp:positionV relativeFrom="paragraph">
                <wp:posOffset>135890</wp:posOffset>
              </wp:positionV>
              <wp:extent cx="4116705" cy="365760"/>
              <wp:effectExtent l="0" t="2540" r="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CB5B7" w14:textId="77777777" w:rsidR="00E56243" w:rsidRPr="008E2879" w:rsidRDefault="00E56243" w:rsidP="0090281B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spacing w:line="240" w:lineRule="auto"/>
                            <w:rPr>
                              <w:rFonts w:ascii="Arial Black" w:hAnsi="Arial Black"/>
                              <w:spacing w:val="44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A34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6pt;margin-top:10.7pt;width:324.1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zw4QEAAKE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" filled="f" stroked="f">
              <v:textbox>
                <w:txbxContent>
                  <w:p w14:paraId="3BDCB5B7" w14:textId="77777777" w:rsidR="00E56243" w:rsidRPr="008E2879" w:rsidRDefault="00E56243" w:rsidP="0090281B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spacing w:line="240" w:lineRule="auto"/>
                      <w:rPr>
                        <w:rFonts w:ascii="Arial Black" w:hAnsi="Arial Black"/>
                        <w:spacing w:val="44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177"/>
    <w:multiLevelType w:val="hybridMultilevel"/>
    <w:tmpl w:val="BBF43872"/>
    <w:lvl w:ilvl="0" w:tplc="B5FC1E0C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71DB1"/>
    <w:multiLevelType w:val="hybridMultilevel"/>
    <w:tmpl w:val="0A20ABD6"/>
    <w:lvl w:ilvl="0" w:tplc="BDDE75F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F1209"/>
    <w:multiLevelType w:val="multilevel"/>
    <w:tmpl w:val="3E107536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8A40F5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21F5A77"/>
    <w:multiLevelType w:val="hybridMultilevel"/>
    <w:tmpl w:val="743C8488"/>
    <w:lvl w:ilvl="0" w:tplc="F3F6E2C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627825">
    <w:abstractNumId w:val="3"/>
  </w:num>
  <w:num w:numId="2" w16cid:durableId="281571478">
    <w:abstractNumId w:val="5"/>
  </w:num>
  <w:num w:numId="3" w16cid:durableId="1956985845">
    <w:abstractNumId w:val="2"/>
  </w:num>
  <w:num w:numId="4" w16cid:durableId="1520852568">
    <w:abstractNumId w:val="0"/>
  </w:num>
  <w:num w:numId="5" w16cid:durableId="2022125405">
    <w:abstractNumId w:val="1"/>
  </w:num>
  <w:num w:numId="6" w16cid:durableId="601298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D47871"/>
    <w:rsid w:val="000144B1"/>
    <w:rsid w:val="0001500B"/>
    <w:rsid w:val="00016043"/>
    <w:rsid w:val="0002420E"/>
    <w:rsid w:val="00025053"/>
    <w:rsid w:val="0005400F"/>
    <w:rsid w:val="00085495"/>
    <w:rsid w:val="000C7501"/>
    <w:rsid w:val="000D131A"/>
    <w:rsid w:val="000D37C4"/>
    <w:rsid w:val="000E2E15"/>
    <w:rsid w:val="000E5781"/>
    <w:rsid w:val="00107FB1"/>
    <w:rsid w:val="0011335C"/>
    <w:rsid w:val="00117072"/>
    <w:rsid w:val="00163A8D"/>
    <w:rsid w:val="001E0467"/>
    <w:rsid w:val="0022014E"/>
    <w:rsid w:val="00230D73"/>
    <w:rsid w:val="00237ADB"/>
    <w:rsid w:val="00281F81"/>
    <w:rsid w:val="002A499B"/>
    <w:rsid w:val="002C5F88"/>
    <w:rsid w:val="002E476C"/>
    <w:rsid w:val="00315D4D"/>
    <w:rsid w:val="00360E44"/>
    <w:rsid w:val="0036535E"/>
    <w:rsid w:val="00384880"/>
    <w:rsid w:val="00393A9F"/>
    <w:rsid w:val="003964A6"/>
    <w:rsid w:val="003D7639"/>
    <w:rsid w:val="00411072"/>
    <w:rsid w:val="0041234D"/>
    <w:rsid w:val="00413B66"/>
    <w:rsid w:val="00417B0F"/>
    <w:rsid w:val="004373A9"/>
    <w:rsid w:val="00444234"/>
    <w:rsid w:val="00460C29"/>
    <w:rsid w:val="00463097"/>
    <w:rsid w:val="004D0CAF"/>
    <w:rsid w:val="00505C6E"/>
    <w:rsid w:val="005265C7"/>
    <w:rsid w:val="00527185"/>
    <w:rsid w:val="005439BC"/>
    <w:rsid w:val="005455C8"/>
    <w:rsid w:val="006001D1"/>
    <w:rsid w:val="00602658"/>
    <w:rsid w:val="0063728A"/>
    <w:rsid w:val="00655D9F"/>
    <w:rsid w:val="00663B28"/>
    <w:rsid w:val="006A0978"/>
    <w:rsid w:val="006A51AA"/>
    <w:rsid w:val="006C7261"/>
    <w:rsid w:val="007374A4"/>
    <w:rsid w:val="00774179"/>
    <w:rsid w:val="00780C71"/>
    <w:rsid w:val="007847E4"/>
    <w:rsid w:val="007A2772"/>
    <w:rsid w:val="007E6425"/>
    <w:rsid w:val="007E6507"/>
    <w:rsid w:val="007F51D2"/>
    <w:rsid w:val="00825E10"/>
    <w:rsid w:val="00847C43"/>
    <w:rsid w:val="008C295B"/>
    <w:rsid w:val="008D7B2E"/>
    <w:rsid w:val="008E2879"/>
    <w:rsid w:val="008F0359"/>
    <w:rsid w:val="0090281B"/>
    <w:rsid w:val="00911391"/>
    <w:rsid w:val="009433CE"/>
    <w:rsid w:val="00977E0B"/>
    <w:rsid w:val="00983206"/>
    <w:rsid w:val="009B556C"/>
    <w:rsid w:val="009C43E1"/>
    <w:rsid w:val="00A82827"/>
    <w:rsid w:val="00AE62EB"/>
    <w:rsid w:val="00AF3FC3"/>
    <w:rsid w:val="00B06930"/>
    <w:rsid w:val="00B23B9D"/>
    <w:rsid w:val="00B246BA"/>
    <w:rsid w:val="00B36D7F"/>
    <w:rsid w:val="00B37D09"/>
    <w:rsid w:val="00B71DCB"/>
    <w:rsid w:val="00B73828"/>
    <w:rsid w:val="00B97689"/>
    <w:rsid w:val="00BA7208"/>
    <w:rsid w:val="00C10517"/>
    <w:rsid w:val="00C379C6"/>
    <w:rsid w:val="00C43B36"/>
    <w:rsid w:val="00C5465E"/>
    <w:rsid w:val="00CB7505"/>
    <w:rsid w:val="00CD21AF"/>
    <w:rsid w:val="00D001F3"/>
    <w:rsid w:val="00D005AF"/>
    <w:rsid w:val="00D241ED"/>
    <w:rsid w:val="00D44798"/>
    <w:rsid w:val="00D47871"/>
    <w:rsid w:val="00DA3952"/>
    <w:rsid w:val="00DC7525"/>
    <w:rsid w:val="00DF6C0D"/>
    <w:rsid w:val="00E12E8C"/>
    <w:rsid w:val="00E56243"/>
    <w:rsid w:val="00EA5BD3"/>
    <w:rsid w:val="00EA6E3A"/>
    <w:rsid w:val="00EB3204"/>
    <w:rsid w:val="00EC3FFA"/>
    <w:rsid w:val="00ED2D72"/>
    <w:rsid w:val="00EE3CB7"/>
    <w:rsid w:val="00F07ABF"/>
    <w:rsid w:val="00F07C72"/>
    <w:rsid w:val="00F131E9"/>
    <w:rsid w:val="00F53F80"/>
    <w:rsid w:val="00F87198"/>
    <w:rsid w:val="00F94296"/>
    <w:rsid w:val="00F97A5E"/>
    <w:rsid w:val="00FC376D"/>
    <w:rsid w:val="00FD6521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3E209"/>
  <w15:docId w15:val="{3300F0BB-4C79-4B96-898C-1017166C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59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Normal"/>
    <w:qFormat/>
    <w:rsid w:val="00774179"/>
    <w:pPr>
      <w:keepNext/>
      <w:spacing w:after="140" w:line="44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C295B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9433CE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9433CE"/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880"/>
    <w:pPr>
      <w:spacing w:line="240" w:lineRule="auto"/>
    </w:pPr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9433CE"/>
  </w:style>
  <w:style w:type="paragraph" w:customStyle="1" w:styleId="datomv">
    <w:name w:val="datomv"/>
    <w:basedOn w:val="skakt"/>
    <w:rsid w:val="009433CE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9433CE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9433CE"/>
  </w:style>
  <w:style w:type="paragraph" w:styleId="Sidefod">
    <w:name w:val="footer"/>
    <w:basedOn w:val="Normal"/>
    <w:rsid w:val="00C379C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9433CE"/>
    <w:pPr>
      <w:framePr w:h="454" w:hRule="exact" w:wrap="around" w:vAnchor="page" w:hAnchor="page" w:x="9186" w:y="1702"/>
    </w:pPr>
    <w:rPr>
      <w:b/>
      <w:caps/>
      <w:sz w:val="15"/>
    </w:rPr>
  </w:style>
  <w:style w:type="paragraph" w:styleId="Listeafsnit">
    <w:name w:val="List Paragraph"/>
    <w:basedOn w:val="Normal"/>
    <w:uiPriority w:val="1"/>
    <w:qFormat/>
    <w:rsid w:val="00774179"/>
    <w:pPr>
      <w:numPr>
        <w:numId w:val="2"/>
      </w:numPr>
      <w:ind w:left="426" w:hanging="426"/>
      <w:contextualSpacing/>
    </w:pPr>
    <w:rPr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880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8C295B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customStyle="1" w:styleId="Underoverskrift">
    <w:name w:val="Underoverskrift"/>
    <w:basedOn w:val="Overskrift2"/>
    <w:next w:val="Normal"/>
    <w:qFormat/>
    <w:rsid w:val="008C295B"/>
    <w:pPr>
      <w:numPr>
        <w:numId w:val="3"/>
      </w:numPr>
    </w:pPr>
    <w:rPr>
      <w:lang w:val="en-GB"/>
    </w:rPr>
  </w:style>
  <w:style w:type="paragraph" w:customStyle="1" w:styleId="ListeTal">
    <w:name w:val="ListeTal"/>
    <w:basedOn w:val="Listeafsnit"/>
    <w:uiPriority w:val="1"/>
    <w:qFormat/>
    <w:rsid w:val="008C295B"/>
    <w:pPr>
      <w:numPr>
        <w:numId w:val="4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8C295B"/>
    <w:pPr>
      <w:numPr>
        <w:numId w:val="5"/>
      </w:numPr>
      <w:ind w:left="426" w:hanging="426"/>
    </w:pPr>
  </w:style>
  <w:style w:type="paragraph" w:styleId="Fodnotetekst">
    <w:name w:val="footnote text"/>
    <w:basedOn w:val="Normal"/>
    <w:link w:val="FodnotetekstTegn"/>
    <w:uiPriority w:val="99"/>
    <w:qFormat/>
    <w:rsid w:val="008F0359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F0359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0359"/>
    <w:rPr>
      <w:vertAlign w:val="superscript"/>
    </w:rPr>
  </w:style>
  <w:style w:type="table" w:styleId="Tabel-Gitter">
    <w:name w:val="Table Grid"/>
    <w:basedOn w:val="Tabel-Normal"/>
    <w:uiPriority w:val="59"/>
    <w:rsid w:val="00D4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81F81"/>
    <w:rPr>
      <w:color w:val="99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Eng-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853B-77C0-4E6E-B726-FAC4C2D5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Eng-Notat.dotm</Template>
  <TotalTime>1</TotalTime>
  <Pages>5</Pages>
  <Words>629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Madsen (FT)</dc:creator>
  <cp:lastModifiedBy>Maja Hedegaard Andersen (FT)</cp:lastModifiedBy>
  <cp:revision>2</cp:revision>
  <cp:lastPrinted>2015-09-30T12:47:00Z</cp:lastPrinted>
  <dcterms:created xsi:type="dcterms:W3CDTF">2024-06-06T10:57:00Z</dcterms:created>
  <dcterms:modified xsi:type="dcterms:W3CDTF">2024-06-06T10:57:00Z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/>
  </property>
  <property fmtid="{D5CDD505-2E9C-101B-9397-08002B2CF9AE}" pid="7" name="PJournalNr">
    <vt:lpwstr/>
  </property>
  <property fmtid="{D5CDD505-2E9C-101B-9397-08002B2CF9AE}" pid="8" name="PEmne">
    <vt:lpwstr>The FIONA system is open for test of Solvency II reports</vt:lpwstr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PM</vt:lpwstr>
  </property>
  <property fmtid="{D5CDD505-2E9C-101B-9397-08002B2CF9AE}" pid="14" name="Bilag">
    <vt:i4>0</vt:i4>
  </property>
  <property fmtid="{D5CDD505-2E9C-101B-9397-08002B2CF9AE}" pid="15" name="Kontor">
    <vt:lpwstr>IT-kontoret</vt:lpwstr>
  </property>
  <property fmtid="{D5CDD505-2E9C-101B-9397-08002B2CF9AE}" pid="16" name="Diverse">
    <vt:lpwstr/>
  </property>
</Properties>
</file>